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DA" w:rsidRDefault="001B4ADA" w:rsidP="001B4ADA">
      <w:pPr>
        <w:jc w:val="center"/>
        <w:rPr>
          <w:rFonts w:cstheme="minorHAnsi"/>
          <w:b/>
          <w:sz w:val="28"/>
          <w:szCs w:val="28"/>
        </w:rPr>
      </w:pPr>
      <w:r>
        <w:rPr>
          <w:rFonts w:hint="eastAsia"/>
          <w:noProof/>
        </w:rPr>
        <w:drawing>
          <wp:inline distT="0" distB="0" distL="0" distR="0" wp14:anchorId="721188A5" wp14:editId="25B40E84">
            <wp:extent cx="6492240" cy="739891"/>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_Illustration_WorkforceHeader-01-01.jpg"/>
                    <pic:cNvPicPr/>
                  </pic:nvPicPr>
                  <pic:blipFill>
                    <a:blip r:embed="rId7">
                      <a:extLst>
                        <a:ext uri="{28A0092B-C50C-407E-A947-70E740481C1C}">
                          <a14:useLocalDpi xmlns:a14="http://schemas.microsoft.com/office/drawing/2010/main" val="0"/>
                        </a:ext>
                      </a:extLst>
                    </a:blip>
                    <a:stretch>
                      <a:fillRect/>
                    </a:stretch>
                  </pic:blipFill>
                  <pic:spPr>
                    <a:xfrm>
                      <a:off x="0" y="0"/>
                      <a:ext cx="6492240" cy="739891"/>
                    </a:xfrm>
                    <a:prstGeom prst="rect">
                      <a:avLst/>
                    </a:prstGeom>
                  </pic:spPr>
                </pic:pic>
              </a:graphicData>
            </a:graphic>
          </wp:inline>
        </w:drawing>
      </w:r>
    </w:p>
    <w:p w:rsidR="001B4ADA" w:rsidRPr="00993657" w:rsidRDefault="001B4ADA" w:rsidP="001B4ADA">
      <w:pPr>
        <w:jc w:val="center"/>
        <w:rPr>
          <w:rFonts w:cstheme="minorHAnsi"/>
          <w:b/>
          <w:szCs w:val="28"/>
        </w:rPr>
      </w:pPr>
    </w:p>
    <w:p w:rsidR="001B4ADA" w:rsidRPr="001B4ADA" w:rsidRDefault="001B4ADA" w:rsidP="001B4ADA">
      <w:pPr>
        <w:jc w:val="center"/>
        <w:rPr>
          <w:rFonts w:cstheme="minorHAnsi"/>
          <w:b/>
          <w:sz w:val="36"/>
          <w:szCs w:val="28"/>
        </w:rPr>
      </w:pPr>
      <w:r w:rsidRPr="001B4ADA">
        <w:rPr>
          <w:rFonts w:cstheme="minorHAnsi"/>
          <w:b/>
          <w:sz w:val="36"/>
          <w:szCs w:val="28"/>
        </w:rPr>
        <w:t>Lunch and Networking Tables</w:t>
      </w:r>
    </w:p>
    <w:p w:rsidR="001B4ADA" w:rsidRPr="00993657" w:rsidRDefault="001B4ADA" w:rsidP="001B4ADA">
      <w:pPr>
        <w:rPr>
          <w:rFonts w:cstheme="minorHAnsi"/>
          <w:sz w:val="12"/>
          <w:szCs w:val="20"/>
        </w:rPr>
      </w:pPr>
    </w:p>
    <w:p w:rsidR="001B4ADA" w:rsidRPr="00CE2150" w:rsidRDefault="001B4ADA" w:rsidP="001B4ADA">
      <w:pPr>
        <w:rPr>
          <w:rFonts w:cstheme="minorHAnsi"/>
          <w:sz w:val="20"/>
          <w:szCs w:val="20"/>
        </w:rPr>
      </w:pPr>
      <w:r w:rsidRPr="001B4ADA">
        <w:rPr>
          <w:rFonts w:cstheme="minorHAnsi"/>
          <w:b/>
          <w:sz w:val="22"/>
          <w:szCs w:val="20"/>
        </w:rPr>
        <w:t>DIRECTIONS:</w:t>
      </w:r>
      <w:r w:rsidRPr="001B4ADA">
        <w:rPr>
          <w:rFonts w:cstheme="minorHAnsi"/>
          <w:sz w:val="22"/>
          <w:szCs w:val="20"/>
        </w:rPr>
        <w:t xml:space="preserve"> </w:t>
      </w:r>
      <w:r w:rsidRPr="00993657">
        <w:rPr>
          <w:rFonts w:cstheme="minorHAnsi"/>
          <w:sz w:val="22"/>
          <w:szCs w:val="20"/>
        </w:rPr>
        <w:t>Grab</w:t>
      </w:r>
      <w:r w:rsidRPr="00993657">
        <w:rPr>
          <w:rFonts w:cstheme="minorHAnsi"/>
          <w:szCs w:val="20"/>
        </w:rPr>
        <w:t xml:space="preserve"> </w:t>
      </w:r>
      <w:r w:rsidRPr="00993657">
        <w:rPr>
          <w:rFonts w:cstheme="minorHAnsi"/>
          <w:sz w:val="22"/>
          <w:szCs w:val="20"/>
        </w:rPr>
        <w:t>a lunch and join the informal networking and information sharing at one of 1</w:t>
      </w:r>
      <w:r w:rsidR="004528B8">
        <w:rPr>
          <w:rFonts w:cstheme="minorHAnsi"/>
          <w:sz w:val="22"/>
          <w:szCs w:val="20"/>
        </w:rPr>
        <w:t>1</w:t>
      </w:r>
      <w:r w:rsidRPr="00993657">
        <w:rPr>
          <w:rFonts w:cstheme="minorHAnsi"/>
          <w:sz w:val="22"/>
          <w:szCs w:val="20"/>
        </w:rPr>
        <w:t xml:space="preserve"> tables led by </w:t>
      </w:r>
      <w:r w:rsidRPr="00993657">
        <w:rPr>
          <w:rFonts w:cstheme="minorHAnsi"/>
          <w:b/>
          <w:color w:val="7030A0"/>
          <w:sz w:val="22"/>
          <w:szCs w:val="20"/>
        </w:rPr>
        <w:t>thought partners</w:t>
      </w:r>
      <w:r w:rsidRPr="00993657">
        <w:rPr>
          <w:rFonts w:cstheme="minorHAnsi"/>
          <w:sz w:val="22"/>
          <w:szCs w:val="20"/>
        </w:rPr>
        <w:t xml:space="preserve"> in youth financial capability and workforce development. Discover resources and potential collaborators available to help you develop your local strategies to build positive financial behaviors into your local youth workforce programming. The descriptions below will give you a sense of the organizations represented and the value they bring to today’s event.</w:t>
      </w:r>
    </w:p>
    <w:p w:rsidR="001B4ADA" w:rsidRPr="00993657" w:rsidRDefault="001B4ADA" w:rsidP="001B4ADA">
      <w:pPr>
        <w:rPr>
          <w:rFonts w:cstheme="minorHAnsi"/>
          <w:sz w:val="28"/>
          <w:szCs w:val="20"/>
        </w:rPr>
      </w:pPr>
    </w:p>
    <w:p w:rsidR="001B4ADA" w:rsidRPr="00CE2150" w:rsidRDefault="001B4ADA" w:rsidP="001B4ADA">
      <w:pPr>
        <w:rPr>
          <w:rFonts w:cstheme="minorHAnsi"/>
          <w:b/>
          <w:sz w:val="20"/>
          <w:szCs w:val="20"/>
          <w:u w:val="single"/>
        </w:rPr>
      </w:pPr>
      <w:proofErr w:type="gramStart"/>
      <w:r w:rsidRPr="00CE2150">
        <w:rPr>
          <w:rFonts w:cstheme="minorHAnsi"/>
          <w:b/>
          <w:sz w:val="20"/>
          <w:szCs w:val="20"/>
        </w:rPr>
        <w:t>TABLE 1.</w:t>
      </w:r>
      <w:proofErr w:type="gramEnd"/>
      <w:r w:rsidRPr="00CE2150">
        <w:rPr>
          <w:rFonts w:cstheme="minorHAnsi"/>
          <w:b/>
          <w:sz w:val="20"/>
          <w:szCs w:val="20"/>
        </w:rPr>
        <w:t xml:space="preserve"> </w:t>
      </w:r>
      <w:r w:rsidRPr="00CE2150">
        <w:rPr>
          <w:rFonts w:cstheme="minorHAnsi"/>
          <w:color w:val="C00000"/>
        </w:rPr>
        <w:t>*</w:t>
      </w:r>
      <w:hyperlink r:id="rId8" w:history="1">
        <w:r w:rsidRPr="00CE2150">
          <w:rPr>
            <w:rStyle w:val="Hyperlink"/>
            <w:rFonts w:cstheme="minorHAnsi"/>
            <w:b/>
            <w:sz w:val="20"/>
            <w:szCs w:val="20"/>
          </w:rPr>
          <w:t>Cities for Financial Empowerment (CFE) Fund</w:t>
        </w:r>
      </w:hyperlink>
      <w:r>
        <w:rPr>
          <w:rFonts w:cstheme="minorHAnsi"/>
          <w:b/>
          <w:sz w:val="20"/>
          <w:szCs w:val="20"/>
        </w:rPr>
        <w:t xml:space="preserve">: </w:t>
      </w:r>
      <w:r w:rsidRPr="00CE2150">
        <w:rPr>
          <w:rFonts w:cstheme="minorHAnsi"/>
          <w:b/>
          <w:sz w:val="20"/>
          <w:szCs w:val="20"/>
        </w:rPr>
        <w:t xml:space="preserve"> </w:t>
      </w:r>
      <w:r w:rsidRPr="00CE2150">
        <w:rPr>
          <w:rFonts w:cstheme="minorHAnsi"/>
          <w:b/>
          <w:color w:val="7030A0"/>
          <w:sz w:val="20"/>
          <w:szCs w:val="20"/>
        </w:rPr>
        <w:t>I-</w:t>
      </w:r>
      <w:proofErr w:type="spellStart"/>
      <w:r w:rsidRPr="00CE2150">
        <w:rPr>
          <w:rFonts w:cstheme="minorHAnsi"/>
          <w:b/>
          <w:color w:val="7030A0"/>
          <w:sz w:val="20"/>
          <w:szCs w:val="20"/>
        </w:rPr>
        <w:t>Hsing</w:t>
      </w:r>
      <w:proofErr w:type="spellEnd"/>
      <w:r w:rsidRPr="00CE2150">
        <w:rPr>
          <w:rFonts w:cstheme="minorHAnsi"/>
          <w:b/>
          <w:color w:val="7030A0"/>
          <w:sz w:val="20"/>
          <w:szCs w:val="20"/>
        </w:rPr>
        <w:t xml:space="preserve"> Sun</w:t>
      </w:r>
    </w:p>
    <w:p w:rsidR="001B4ADA" w:rsidRPr="001B4ADA" w:rsidRDefault="001B4ADA" w:rsidP="001B4ADA">
      <w:pPr>
        <w:rPr>
          <w:rFonts w:asciiTheme="majorHAnsi" w:hAnsiTheme="majorHAnsi" w:cstheme="majorHAnsi"/>
          <w:sz w:val="20"/>
          <w:szCs w:val="22"/>
        </w:rPr>
      </w:pPr>
      <w:r w:rsidRPr="001B4ADA">
        <w:rPr>
          <w:rFonts w:asciiTheme="majorHAnsi" w:hAnsiTheme="majorHAnsi" w:cstheme="majorHAnsi"/>
          <w:color w:val="000000"/>
          <w:sz w:val="20"/>
          <w:szCs w:val="22"/>
          <w:lang w:val="en"/>
        </w:rPr>
        <w:t xml:space="preserve">The CFE Fund's mission is to leverage municipal engagement to improve the financial stability of low- and moderate-income households by embedding financial empowerment strategies into local government infrastructure. </w:t>
      </w:r>
      <w:hyperlink r:id="rId9" w:anchor="summer-jobs-connect" w:history="1">
        <w:r w:rsidRPr="001B4ADA">
          <w:rPr>
            <w:rStyle w:val="Hyperlink"/>
            <w:rFonts w:asciiTheme="majorHAnsi" w:hAnsiTheme="majorHAnsi" w:cstheme="majorHAnsi"/>
            <w:sz w:val="20"/>
            <w:szCs w:val="22"/>
            <w:lang w:val="en"/>
          </w:rPr>
          <w:t>Summer Jobs Connect</w:t>
        </w:r>
      </w:hyperlink>
      <w:r w:rsidRPr="001B4ADA">
        <w:rPr>
          <w:rFonts w:asciiTheme="majorHAnsi" w:hAnsiTheme="majorHAnsi" w:cstheme="majorHAnsi"/>
          <w:color w:val="000000"/>
          <w:sz w:val="20"/>
          <w:szCs w:val="22"/>
          <w:lang w:val="en"/>
        </w:rPr>
        <w:t xml:space="preserve"> is an initiative that supports low-income youth ages 14-24 seeking summer employment, enhancing these municipally-led programs by integrating programmatic linkages to safe and appropriate banking products, services, and education. </w:t>
      </w:r>
    </w:p>
    <w:p w:rsidR="001B4ADA" w:rsidRPr="00993657" w:rsidRDefault="001B4ADA" w:rsidP="001B4ADA">
      <w:pPr>
        <w:rPr>
          <w:rFonts w:cstheme="minorHAnsi"/>
          <w:sz w:val="18"/>
          <w:szCs w:val="16"/>
        </w:rPr>
      </w:pPr>
    </w:p>
    <w:p w:rsidR="001B4ADA" w:rsidRPr="00CE2150" w:rsidRDefault="00993657" w:rsidP="001B4ADA">
      <w:pPr>
        <w:rPr>
          <w:rFonts w:cstheme="minorHAnsi"/>
          <w:b/>
          <w:sz w:val="20"/>
          <w:szCs w:val="20"/>
          <w:u w:val="single"/>
        </w:rPr>
      </w:pPr>
      <w:proofErr w:type="gramStart"/>
      <w:r>
        <w:rPr>
          <w:rFonts w:cstheme="minorHAnsi"/>
          <w:b/>
          <w:sz w:val="20"/>
          <w:szCs w:val="20"/>
        </w:rPr>
        <w:t>TABLE 2</w:t>
      </w:r>
      <w:r w:rsidR="001B4ADA" w:rsidRPr="00CE2150">
        <w:rPr>
          <w:rFonts w:cstheme="minorHAnsi"/>
          <w:b/>
          <w:sz w:val="20"/>
          <w:szCs w:val="20"/>
        </w:rPr>
        <w:t>.</w:t>
      </w:r>
      <w:proofErr w:type="gramEnd"/>
      <w:r w:rsidR="001B4ADA" w:rsidRPr="00CE2150">
        <w:rPr>
          <w:rFonts w:cstheme="minorHAnsi"/>
          <w:b/>
          <w:sz w:val="20"/>
          <w:szCs w:val="20"/>
        </w:rPr>
        <w:t xml:space="preserve"> </w:t>
      </w:r>
      <w:r w:rsidR="001B4ADA" w:rsidRPr="00CE2150">
        <w:rPr>
          <w:rFonts w:cstheme="minorHAnsi"/>
          <w:color w:val="C00000"/>
        </w:rPr>
        <w:t>*</w:t>
      </w:r>
      <w:hyperlink r:id="rId10" w:history="1">
        <w:r w:rsidR="001B4ADA" w:rsidRPr="00CE2150">
          <w:rPr>
            <w:rStyle w:val="Hyperlink"/>
            <w:rFonts w:cstheme="minorHAnsi"/>
            <w:b/>
            <w:sz w:val="20"/>
            <w:szCs w:val="20"/>
          </w:rPr>
          <w:t>Department of Labor’s Employment and Training Administration (ETA)</w:t>
        </w:r>
      </w:hyperlink>
      <w:r w:rsidR="001B4ADA">
        <w:rPr>
          <w:rFonts w:cstheme="minorHAnsi"/>
          <w:b/>
          <w:sz w:val="20"/>
          <w:szCs w:val="20"/>
        </w:rPr>
        <w:t xml:space="preserve">: </w:t>
      </w:r>
      <w:r w:rsidR="001B4ADA" w:rsidRPr="00CE2150">
        <w:rPr>
          <w:rFonts w:cstheme="minorHAnsi"/>
          <w:b/>
          <w:sz w:val="20"/>
          <w:szCs w:val="20"/>
        </w:rPr>
        <w:t xml:space="preserve"> </w:t>
      </w:r>
      <w:r w:rsidR="001B4ADA">
        <w:rPr>
          <w:rFonts w:cstheme="minorHAnsi"/>
          <w:b/>
          <w:color w:val="7030A0"/>
          <w:sz w:val="20"/>
          <w:szCs w:val="20"/>
        </w:rPr>
        <w:t>Tim Martin</w:t>
      </w:r>
      <w:r w:rsidR="004400F6">
        <w:rPr>
          <w:rFonts w:cstheme="minorHAnsi"/>
          <w:b/>
          <w:color w:val="7030A0"/>
          <w:sz w:val="20"/>
          <w:szCs w:val="20"/>
        </w:rPr>
        <w:t xml:space="preserve"> and Ida Chang</w:t>
      </w:r>
    </w:p>
    <w:p w:rsidR="004400F6" w:rsidRPr="004400F6" w:rsidRDefault="004400F6" w:rsidP="004400F6">
      <w:pPr>
        <w:pStyle w:val="NormalWeb"/>
        <w:shd w:val="clear" w:color="auto" w:fill="FFFFFF"/>
        <w:spacing w:before="0" w:beforeAutospacing="0" w:after="0"/>
        <w:ind w:left="0"/>
        <w:rPr>
          <w:rFonts w:asciiTheme="majorHAnsi" w:hAnsiTheme="majorHAnsi" w:cstheme="majorHAnsi"/>
          <w:color w:val="000000"/>
          <w:sz w:val="20"/>
          <w:szCs w:val="22"/>
        </w:rPr>
      </w:pPr>
      <w:r w:rsidRPr="004400F6">
        <w:rPr>
          <w:rFonts w:asciiTheme="majorHAnsi" w:hAnsiTheme="majorHAnsi" w:cstheme="majorHAnsi"/>
          <w:color w:val="000000"/>
          <w:sz w:val="20"/>
          <w:szCs w:val="22"/>
        </w:rPr>
        <w:t xml:space="preserve">The Department of Labor's </w:t>
      </w:r>
      <w:hyperlink r:id="rId11" w:history="1">
        <w:r w:rsidRPr="004400F6">
          <w:rPr>
            <w:rStyle w:val="Hyperlink"/>
            <w:rFonts w:asciiTheme="majorHAnsi" w:hAnsiTheme="majorHAnsi" w:cstheme="majorHAnsi"/>
            <w:sz w:val="20"/>
            <w:szCs w:val="22"/>
          </w:rPr>
          <w:t>Employment and Training Administration (ETA)</w:t>
        </w:r>
      </w:hyperlink>
      <w:r w:rsidRPr="004400F6">
        <w:rPr>
          <w:rFonts w:asciiTheme="majorHAnsi" w:hAnsiTheme="majorHAnsi" w:cstheme="majorHAnsi"/>
          <w:color w:val="000000"/>
          <w:sz w:val="20"/>
          <w:szCs w:val="22"/>
        </w:rPr>
        <w:t xml:space="preserve"> supports a wide variety of programs to ensure that eligible youth have the education, skills and training needed to prepare them to enter</w:t>
      </w:r>
      <w:r>
        <w:rPr>
          <w:rFonts w:asciiTheme="majorHAnsi" w:hAnsiTheme="majorHAnsi" w:cstheme="majorHAnsi"/>
          <w:color w:val="000000"/>
          <w:sz w:val="20"/>
          <w:szCs w:val="22"/>
        </w:rPr>
        <w:t xml:space="preserve"> </w:t>
      </w:r>
      <w:r w:rsidRPr="004400F6">
        <w:rPr>
          <w:rFonts w:asciiTheme="majorHAnsi" w:hAnsiTheme="majorHAnsi" w:cstheme="majorHAnsi"/>
          <w:color w:val="000000"/>
          <w:sz w:val="20"/>
          <w:szCs w:val="22"/>
        </w:rPr>
        <w:t>employment</w:t>
      </w:r>
      <w:r>
        <w:rPr>
          <w:rFonts w:asciiTheme="majorHAnsi" w:hAnsiTheme="majorHAnsi" w:cstheme="majorHAnsi"/>
          <w:color w:val="000000"/>
          <w:sz w:val="20"/>
          <w:szCs w:val="22"/>
        </w:rPr>
        <w:t xml:space="preserve"> and</w:t>
      </w:r>
      <w:r w:rsidRPr="004400F6">
        <w:rPr>
          <w:rFonts w:asciiTheme="majorHAnsi" w:hAnsiTheme="majorHAnsi" w:cstheme="majorHAnsi"/>
          <w:color w:val="000000"/>
          <w:sz w:val="20"/>
          <w:szCs w:val="22"/>
        </w:rPr>
        <w:t xml:space="preserve"> a meaning</w:t>
      </w:r>
      <w:r>
        <w:rPr>
          <w:rFonts w:asciiTheme="majorHAnsi" w:hAnsiTheme="majorHAnsi" w:cstheme="majorHAnsi"/>
          <w:color w:val="000000"/>
          <w:sz w:val="20"/>
          <w:szCs w:val="22"/>
        </w:rPr>
        <w:t>ful career pathway. P</w:t>
      </w:r>
      <w:r w:rsidRPr="004400F6">
        <w:rPr>
          <w:rFonts w:asciiTheme="majorHAnsi" w:hAnsiTheme="majorHAnsi" w:cstheme="majorHAnsi"/>
          <w:color w:val="000000"/>
          <w:sz w:val="20"/>
          <w:szCs w:val="22"/>
        </w:rPr>
        <w:t>rograms include:</w:t>
      </w:r>
      <w:r w:rsidRPr="004400F6">
        <w:rPr>
          <w:rFonts w:asciiTheme="majorHAnsi" w:hAnsiTheme="majorHAnsi" w:cstheme="majorHAnsi"/>
          <w:sz w:val="18"/>
        </w:rPr>
        <w:t xml:space="preserve"> </w:t>
      </w:r>
      <w:hyperlink r:id="rId12" w:history="1">
        <w:r w:rsidRPr="004400F6">
          <w:rPr>
            <w:rStyle w:val="Hyperlink"/>
            <w:rFonts w:asciiTheme="majorHAnsi" w:hAnsiTheme="majorHAnsi" w:cstheme="majorHAnsi"/>
            <w:sz w:val="20"/>
            <w:szCs w:val="22"/>
          </w:rPr>
          <w:t>Youth Formula-Funded Grant Programs</w:t>
        </w:r>
      </w:hyperlink>
      <w:r>
        <w:rPr>
          <w:rFonts w:asciiTheme="majorHAnsi" w:hAnsiTheme="majorHAnsi" w:cstheme="majorHAnsi"/>
          <w:color w:val="000000"/>
          <w:sz w:val="20"/>
          <w:szCs w:val="22"/>
        </w:rPr>
        <w:t>,</w:t>
      </w:r>
      <w:r w:rsidRPr="004400F6">
        <w:rPr>
          <w:rFonts w:asciiTheme="majorHAnsi" w:hAnsiTheme="majorHAnsi" w:cstheme="majorHAnsi"/>
          <w:color w:val="000000"/>
          <w:sz w:val="20"/>
          <w:szCs w:val="22"/>
        </w:rPr>
        <w:t xml:space="preserve"> </w:t>
      </w:r>
      <w:hyperlink r:id="rId13" w:history="1">
        <w:r w:rsidRPr="004400F6">
          <w:rPr>
            <w:rStyle w:val="Hyperlink"/>
            <w:rFonts w:asciiTheme="majorHAnsi" w:hAnsiTheme="majorHAnsi" w:cstheme="majorHAnsi"/>
            <w:sz w:val="20"/>
            <w:szCs w:val="22"/>
          </w:rPr>
          <w:t>Job Corps</w:t>
        </w:r>
      </w:hyperlink>
      <w:r w:rsidRPr="004400F6">
        <w:rPr>
          <w:rFonts w:asciiTheme="majorHAnsi" w:hAnsiTheme="majorHAnsi" w:cstheme="majorHAnsi"/>
          <w:color w:val="000000"/>
          <w:sz w:val="20"/>
          <w:szCs w:val="22"/>
        </w:rPr>
        <w:t xml:space="preserve">, </w:t>
      </w:r>
      <w:hyperlink r:id="rId14" w:history="1">
        <w:r w:rsidRPr="004400F6">
          <w:rPr>
            <w:rStyle w:val="Hyperlink"/>
            <w:rFonts w:asciiTheme="majorHAnsi" w:hAnsiTheme="majorHAnsi" w:cstheme="majorHAnsi"/>
            <w:sz w:val="20"/>
            <w:szCs w:val="22"/>
          </w:rPr>
          <w:t>Discretionary Grants</w:t>
        </w:r>
      </w:hyperlink>
      <w:r w:rsidRPr="004400F6">
        <w:rPr>
          <w:rFonts w:asciiTheme="majorHAnsi" w:hAnsiTheme="majorHAnsi" w:cstheme="majorHAnsi"/>
          <w:color w:val="000000"/>
          <w:sz w:val="20"/>
          <w:szCs w:val="22"/>
        </w:rPr>
        <w:t xml:space="preserve"> serving youth and young adults including YouthBuild, Youthful Offender and Youth Career Connect grants, and options for </w:t>
      </w:r>
      <w:hyperlink r:id="rId15" w:history="1">
        <w:r w:rsidRPr="004400F6">
          <w:rPr>
            <w:rStyle w:val="Hyperlink"/>
            <w:rFonts w:asciiTheme="majorHAnsi" w:hAnsiTheme="majorHAnsi" w:cstheme="majorHAnsi"/>
            <w:sz w:val="20"/>
            <w:szCs w:val="22"/>
          </w:rPr>
          <w:t>Pre-Apprenticeship</w:t>
        </w:r>
      </w:hyperlink>
      <w:r w:rsidRPr="004400F6">
        <w:rPr>
          <w:rFonts w:asciiTheme="majorHAnsi" w:hAnsiTheme="majorHAnsi" w:cstheme="majorHAnsi"/>
          <w:color w:val="000000"/>
          <w:sz w:val="20"/>
          <w:szCs w:val="22"/>
        </w:rPr>
        <w:t>.</w:t>
      </w:r>
    </w:p>
    <w:p w:rsidR="001B4ADA" w:rsidRPr="00993657" w:rsidRDefault="001B4ADA" w:rsidP="001B4ADA">
      <w:pPr>
        <w:rPr>
          <w:rFonts w:cstheme="minorHAnsi"/>
          <w:sz w:val="18"/>
          <w:szCs w:val="16"/>
        </w:rPr>
      </w:pPr>
    </w:p>
    <w:p w:rsidR="001B4ADA" w:rsidRPr="00CE2150" w:rsidRDefault="00993657" w:rsidP="001B4ADA">
      <w:pPr>
        <w:rPr>
          <w:rFonts w:cstheme="minorHAnsi"/>
          <w:b/>
          <w:sz w:val="20"/>
          <w:szCs w:val="20"/>
          <w:u w:val="single"/>
        </w:rPr>
      </w:pPr>
      <w:proofErr w:type="gramStart"/>
      <w:r>
        <w:rPr>
          <w:rFonts w:cstheme="minorHAnsi"/>
          <w:b/>
          <w:sz w:val="20"/>
          <w:szCs w:val="20"/>
        </w:rPr>
        <w:t>TABLE 3</w:t>
      </w:r>
      <w:r w:rsidR="001B4ADA" w:rsidRPr="00CE2150">
        <w:rPr>
          <w:rFonts w:cstheme="minorHAnsi"/>
          <w:b/>
          <w:sz w:val="20"/>
          <w:szCs w:val="20"/>
        </w:rPr>
        <w:t>.</w:t>
      </w:r>
      <w:proofErr w:type="gramEnd"/>
      <w:r w:rsidR="001B4ADA" w:rsidRPr="00CE2150">
        <w:rPr>
          <w:rFonts w:cstheme="minorHAnsi"/>
          <w:b/>
          <w:sz w:val="20"/>
          <w:szCs w:val="20"/>
        </w:rPr>
        <w:t xml:space="preserve"> </w:t>
      </w:r>
      <w:hyperlink r:id="rId16" w:history="1">
        <w:r w:rsidR="00C1425E">
          <w:rPr>
            <w:rStyle w:val="Hyperlink"/>
            <w:rFonts w:cstheme="minorHAnsi"/>
            <w:b/>
            <w:sz w:val="20"/>
            <w:szCs w:val="20"/>
          </w:rPr>
          <w:t>Doorways to</w:t>
        </w:r>
        <w:r w:rsidR="001B4ADA" w:rsidRPr="00CE2150">
          <w:rPr>
            <w:rStyle w:val="Hyperlink"/>
            <w:rFonts w:cstheme="minorHAnsi"/>
            <w:b/>
            <w:sz w:val="20"/>
            <w:szCs w:val="20"/>
          </w:rPr>
          <w:t xml:space="preserve"> Dreams (D2D) Fund</w:t>
        </w:r>
      </w:hyperlink>
      <w:r w:rsidR="001B4ADA" w:rsidRPr="00CE2150">
        <w:rPr>
          <w:rFonts w:cstheme="minorHAnsi"/>
          <w:b/>
          <w:sz w:val="20"/>
          <w:szCs w:val="20"/>
        </w:rPr>
        <w:t xml:space="preserve">: </w:t>
      </w:r>
      <w:r w:rsidR="001B4ADA">
        <w:rPr>
          <w:rFonts w:cstheme="minorHAnsi"/>
          <w:b/>
          <w:sz w:val="20"/>
          <w:szCs w:val="20"/>
        </w:rPr>
        <w:t xml:space="preserve"> </w:t>
      </w:r>
      <w:r w:rsidR="001B4ADA" w:rsidRPr="00CE2150">
        <w:rPr>
          <w:rFonts w:cstheme="minorHAnsi"/>
          <w:b/>
          <w:color w:val="7030A0"/>
          <w:sz w:val="20"/>
          <w:szCs w:val="20"/>
        </w:rPr>
        <w:t>Nick Maynard</w:t>
      </w:r>
    </w:p>
    <w:p w:rsidR="001B4ADA" w:rsidRPr="001B4ADA" w:rsidRDefault="001B4ADA" w:rsidP="001B4ADA">
      <w:pPr>
        <w:pStyle w:val="NormalWeb"/>
        <w:spacing w:before="0" w:beforeAutospacing="0" w:after="0"/>
        <w:ind w:left="0"/>
        <w:rPr>
          <w:rFonts w:asciiTheme="majorHAnsi" w:hAnsiTheme="majorHAnsi" w:cstheme="majorHAnsi"/>
          <w:color w:val="666666"/>
          <w:sz w:val="20"/>
          <w:szCs w:val="20"/>
          <w:lang w:val="en"/>
        </w:rPr>
      </w:pPr>
      <w:proofErr w:type="gramStart"/>
      <w:r w:rsidRPr="001B4ADA">
        <w:rPr>
          <w:rFonts w:asciiTheme="majorHAnsi" w:hAnsiTheme="majorHAnsi" w:cstheme="majorHAnsi"/>
          <w:sz w:val="20"/>
          <w:szCs w:val="20"/>
          <w:lang w:val="en"/>
        </w:rPr>
        <w:t>Doorways to Dreams (D2D) Fund envisions</w:t>
      </w:r>
      <w:proofErr w:type="gramEnd"/>
      <w:r w:rsidRPr="001B4ADA">
        <w:rPr>
          <w:rFonts w:asciiTheme="majorHAnsi" w:hAnsiTheme="majorHAnsi" w:cstheme="majorHAnsi"/>
          <w:sz w:val="20"/>
          <w:szCs w:val="20"/>
          <w:lang w:val="en"/>
        </w:rPr>
        <w:t xml:space="preserve"> a world where the financial system promotes lasting social and economic prosperity for every family. D2D is unlocking innovations to increase the financial skills, products and household stability of low-income families, including: </w:t>
      </w:r>
      <w:hyperlink r:id="rId17" w:history="1">
        <w:r w:rsidRPr="001B4ADA">
          <w:rPr>
            <w:rStyle w:val="Hyperlink"/>
            <w:rFonts w:asciiTheme="majorHAnsi" w:hAnsiTheme="majorHAnsi" w:cstheme="majorHAnsi"/>
            <w:sz w:val="20"/>
            <w:szCs w:val="20"/>
            <w:lang w:val="en"/>
          </w:rPr>
          <w:t>mobile apps</w:t>
        </w:r>
      </w:hyperlink>
      <w:r w:rsidRPr="001B4ADA">
        <w:rPr>
          <w:rFonts w:asciiTheme="majorHAnsi" w:hAnsiTheme="majorHAnsi" w:cstheme="majorHAnsi"/>
          <w:color w:val="666666"/>
          <w:sz w:val="20"/>
          <w:szCs w:val="20"/>
          <w:lang w:val="en"/>
        </w:rPr>
        <w:t xml:space="preserve"> </w:t>
      </w:r>
      <w:r w:rsidRPr="001B4ADA">
        <w:rPr>
          <w:rFonts w:asciiTheme="majorHAnsi" w:hAnsiTheme="majorHAnsi" w:cstheme="majorHAnsi"/>
          <w:sz w:val="20"/>
          <w:szCs w:val="20"/>
          <w:lang w:val="en"/>
        </w:rPr>
        <w:t xml:space="preserve">to provide access to affordable, high-quality financial products and services for the financially vulnerable; </w:t>
      </w:r>
      <w:hyperlink r:id="rId18" w:history="1">
        <w:r w:rsidRPr="001B4ADA">
          <w:rPr>
            <w:rStyle w:val="Hyperlink"/>
            <w:rFonts w:asciiTheme="majorHAnsi" w:hAnsiTheme="majorHAnsi" w:cstheme="majorHAnsi"/>
            <w:sz w:val="20"/>
            <w:szCs w:val="20"/>
            <w:lang w:val="en"/>
          </w:rPr>
          <w:t>prize-linked savings</w:t>
        </w:r>
      </w:hyperlink>
      <w:r w:rsidRPr="001B4ADA">
        <w:rPr>
          <w:rFonts w:asciiTheme="majorHAnsi" w:hAnsiTheme="majorHAnsi" w:cstheme="majorHAnsi"/>
          <w:color w:val="666666"/>
          <w:sz w:val="20"/>
          <w:szCs w:val="20"/>
          <w:lang w:val="en"/>
        </w:rPr>
        <w:t xml:space="preserve"> </w:t>
      </w:r>
      <w:r w:rsidRPr="001B4ADA">
        <w:rPr>
          <w:rFonts w:asciiTheme="majorHAnsi" w:hAnsiTheme="majorHAnsi" w:cstheme="majorHAnsi"/>
          <w:sz w:val="20"/>
          <w:szCs w:val="20"/>
          <w:lang w:val="en"/>
        </w:rPr>
        <w:t>models now being implemented in 6 states; online financial entertainment that transform</w:t>
      </w:r>
      <w:r w:rsidR="004528B8">
        <w:rPr>
          <w:rFonts w:asciiTheme="majorHAnsi" w:hAnsiTheme="majorHAnsi" w:cstheme="majorHAnsi"/>
          <w:sz w:val="20"/>
          <w:szCs w:val="20"/>
          <w:lang w:val="en"/>
        </w:rPr>
        <w:t>s</w:t>
      </w:r>
      <w:r w:rsidRPr="001B4ADA">
        <w:rPr>
          <w:rFonts w:asciiTheme="majorHAnsi" w:hAnsiTheme="majorHAnsi" w:cstheme="majorHAnsi"/>
          <w:sz w:val="20"/>
          <w:szCs w:val="20"/>
          <w:lang w:val="en"/>
        </w:rPr>
        <w:t xml:space="preserve"> </w:t>
      </w:r>
      <w:hyperlink r:id="rId19" w:history="1">
        <w:r w:rsidRPr="001B4ADA">
          <w:rPr>
            <w:rStyle w:val="Hyperlink"/>
            <w:rFonts w:asciiTheme="majorHAnsi" w:hAnsiTheme="majorHAnsi" w:cstheme="majorHAnsi"/>
            <w:sz w:val="20"/>
            <w:szCs w:val="20"/>
            <w:lang w:val="en"/>
          </w:rPr>
          <w:t>financial education</w:t>
        </w:r>
      </w:hyperlink>
      <w:r w:rsidRPr="001B4ADA">
        <w:rPr>
          <w:rFonts w:asciiTheme="majorHAnsi" w:hAnsiTheme="majorHAnsi" w:cstheme="majorHAnsi"/>
          <w:color w:val="666666"/>
          <w:sz w:val="20"/>
          <w:szCs w:val="20"/>
          <w:lang w:val="en"/>
        </w:rPr>
        <w:t xml:space="preserve"> </w:t>
      </w:r>
      <w:r w:rsidRPr="001B4ADA">
        <w:rPr>
          <w:rFonts w:asciiTheme="majorHAnsi" w:hAnsiTheme="majorHAnsi" w:cstheme="majorHAnsi"/>
          <w:sz w:val="20"/>
          <w:szCs w:val="20"/>
          <w:lang w:val="en"/>
        </w:rPr>
        <w:t>and build</w:t>
      </w:r>
      <w:r w:rsidR="004528B8">
        <w:rPr>
          <w:rFonts w:asciiTheme="majorHAnsi" w:hAnsiTheme="majorHAnsi" w:cstheme="majorHAnsi"/>
          <w:sz w:val="20"/>
          <w:szCs w:val="20"/>
          <w:lang w:val="en"/>
        </w:rPr>
        <w:t>s</w:t>
      </w:r>
      <w:r w:rsidRPr="001B4ADA">
        <w:rPr>
          <w:rFonts w:asciiTheme="majorHAnsi" w:hAnsiTheme="majorHAnsi" w:cstheme="majorHAnsi"/>
          <w:sz w:val="20"/>
          <w:szCs w:val="20"/>
          <w:lang w:val="en"/>
        </w:rPr>
        <w:t xml:space="preserve"> the financial capability of consumers; and </w:t>
      </w:r>
      <w:hyperlink r:id="rId20" w:history="1">
        <w:r w:rsidRPr="001B4ADA">
          <w:rPr>
            <w:rStyle w:val="Hyperlink"/>
            <w:rFonts w:asciiTheme="majorHAnsi" w:hAnsiTheme="majorHAnsi" w:cstheme="majorHAnsi"/>
            <w:sz w:val="20"/>
            <w:szCs w:val="20"/>
            <w:lang w:val="en"/>
          </w:rPr>
          <w:t>gamification</w:t>
        </w:r>
      </w:hyperlink>
      <w:r w:rsidRPr="001B4ADA">
        <w:rPr>
          <w:rFonts w:asciiTheme="majorHAnsi" w:hAnsiTheme="majorHAnsi" w:cstheme="majorHAnsi"/>
          <w:color w:val="666666"/>
          <w:sz w:val="20"/>
          <w:szCs w:val="20"/>
          <w:lang w:val="en"/>
        </w:rPr>
        <w:t xml:space="preserve"> </w:t>
      </w:r>
      <w:r w:rsidRPr="001B4ADA">
        <w:rPr>
          <w:rFonts w:asciiTheme="majorHAnsi" w:hAnsiTheme="majorHAnsi" w:cstheme="majorHAnsi"/>
          <w:sz w:val="20"/>
          <w:szCs w:val="20"/>
          <w:lang w:val="en"/>
        </w:rPr>
        <w:t>that applies game mechanics to make consumer tools and programs more fun and engaging, and to increase program retention.</w:t>
      </w:r>
    </w:p>
    <w:p w:rsidR="001B4ADA" w:rsidRPr="00993657" w:rsidRDefault="001B4ADA" w:rsidP="001B4ADA">
      <w:pPr>
        <w:rPr>
          <w:rFonts w:cstheme="minorHAnsi"/>
          <w:sz w:val="18"/>
          <w:szCs w:val="16"/>
        </w:rPr>
      </w:pPr>
    </w:p>
    <w:p w:rsidR="001B4ADA" w:rsidRPr="00CE2150" w:rsidRDefault="00993657" w:rsidP="001B4ADA">
      <w:pPr>
        <w:rPr>
          <w:rFonts w:cstheme="minorHAnsi"/>
          <w:b/>
          <w:sz w:val="20"/>
          <w:szCs w:val="20"/>
          <w:u w:val="single"/>
        </w:rPr>
      </w:pPr>
      <w:proofErr w:type="gramStart"/>
      <w:r>
        <w:rPr>
          <w:rFonts w:cstheme="minorHAnsi"/>
          <w:b/>
          <w:sz w:val="20"/>
          <w:szCs w:val="20"/>
        </w:rPr>
        <w:t>TABLE 4</w:t>
      </w:r>
      <w:r w:rsidR="001B4ADA" w:rsidRPr="00CE2150">
        <w:rPr>
          <w:rFonts w:cstheme="minorHAnsi"/>
          <w:b/>
          <w:sz w:val="20"/>
          <w:szCs w:val="20"/>
        </w:rPr>
        <w:t>.</w:t>
      </w:r>
      <w:proofErr w:type="gramEnd"/>
      <w:r w:rsidR="001B4ADA" w:rsidRPr="00CE2150">
        <w:rPr>
          <w:rFonts w:cstheme="minorHAnsi"/>
          <w:b/>
          <w:sz w:val="20"/>
          <w:szCs w:val="20"/>
        </w:rPr>
        <w:t xml:space="preserve"> </w:t>
      </w:r>
      <w:r w:rsidR="001B4ADA" w:rsidRPr="00CE2150">
        <w:rPr>
          <w:rFonts w:cstheme="minorHAnsi"/>
          <w:color w:val="C00000"/>
        </w:rPr>
        <w:t>*</w:t>
      </w:r>
      <w:hyperlink r:id="rId21" w:history="1">
        <w:r w:rsidR="001B4ADA" w:rsidRPr="00CE2150">
          <w:rPr>
            <w:rStyle w:val="Hyperlink"/>
            <w:rFonts w:cstheme="minorHAnsi"/>
            <w:b/>
            <w:sz w:val="20"/>
            <w:szCs w:val="20"/>
          </w:rPr>
          <w:t>Federal Deposit Insurance Corporation (FDIC)</w:t>
        </w:r>
      </w:hyperlink>
      <w:r w:rsidR="001B4ADA" w:rsidRPr="00CE2150">
        <w:rPr>
          <w:rFonts w:cstheme="minorHAnsi"/>
          <w:b/>
          <w:sz w:val="20"/>
          <w:szCs w:val="20"/>
        </w:rPr>
        <w:t xml:space="preserve">: </w:t>
      </w:r>
      <w:r w:rsidR="001B4ADA">
        <w:rPr>
          <w:rFonts w:cstheme="minorHAnsi"/>
          <w:b/>
          <w:sz w:val="20"/>
          <w:szCs w:val="20"/>
        </w:rPr>
        <w:t xml:space="preserve"> </w:t>
      </w:r>
      <w:r w:rsidR="001B4ADA" w:rsidRPr="00CE2150">
        <w:rPr>
          <w:rFonts w:cstheme="minorHAnsi"/>
          <w:b/>
          <w:color w:val="7030A0"/>
          <w:sz w:val="20"/>
          <w:szCs w:val="20"/>
        </w:rPr>
        <w:t>Tracie Morris</w:t>
      </w:r>
    </w:p>
    <w:p w:rsidR="001B4ADA" w:rsidRPr="007E0A2B" w:rsidRDefault="001B4ADA" w:rsidP="001B4ADA">
      <w:pPr>
        <w:rPr>
          <w:rFonts w:asciiTheme="majorHAnsi" w:hAnsiTheme="majorHAnsi" w:cstheme="majorHAnsi"/>
          <w:sz w:val="20"/>
          <w:szCs w:val="20"/>
        </w:rPr>
      </w:pPr>
      <w:r w:rsidRPr="001B4ADA">
        <w:rPr>
          <w:rFonts w:asciiTheme="majorHAnsi" w:hAnsiTheme="majorHAnsi" w:cstheme="majorHAnsi"/>
          <w:sz w:val="20"/>
          <w:szCs w:val="20"/>
        </w:rPr>
        <w:t xml:space="preserve">Our Consumer Protection activities provide resources </w:t>
      </w:r>
      <w:r w:rsidRPr="001B4ADA">
        <w:rPr>
          <w:rFonts w:asciiTheme="majorHAnsi" w:hAnsiTheme="majorHAnsi" w:cstheme="majorHAnsi"/>
          <w:color w:val="000000"/>
          <w:sz w:val="20"/>
          <w:szCs w:val="20"/>
        </w:rPr>
        <w:t>to educate and protect consumers, revitalize communities, and promote compliance with the Community Reinvestment Act and fair lending laws.</w:t>
      </w:r>
      <w:r w:rsidRPr="001B4ADA">
        <w:rPr>
          <w:rFonts w:asciiTheme="majorHAnsi" w:hAnsiTheme="majorHAnsi" w:cstheme="majorHAnsi"/>
          <w:sz w:val="20"/>
          <w:szCs w:val="20"/>
        </w:rPr>
        <w:t xml:space="preserve"> We have a comprehensive, free financial education curriculum—</w:t>
      </w:r>
      <w:hyperlink r:id="rId22" w:history="1">
        <w:r w:rsidRPr="001B4ADA">
          <w:rPr>
            <w:rStyle w:val="Hyperlink"/>
            <w:rFonts w:asciiTheme="majorHAnsi" w:hAnsiTheme="majorHAnsi" w:cstheme="majorHAnsi"/>
            <w:sz w:val="20"/>
            <w:szCs w:val="20"/>
          </w:rPr>
          <w:t>Money Smart</w:t>
        </w:r>
      </w:hyperlink>
      <w:r w:rsidRPr="001B4ADA">
        <w:rPr>
          <w:rFonts w:asciiTheme="majorHAnsi" w:hAnsiTheme="majorHAnsi" w:cstheme="majorHAnsi"/>
          <w:sz w:val="20"/>
          <w:szCs w:val="20"/>
        </w:rPr>
        <w:t>—which is available online,</w:t>
      </w:r>
      <w:r w:rsidRPr="001B4ADA">
        <w:rPr>
          <w:rFonts w:asciiTheme="majorHAnsi" w:hAnsiTheme="majorHAnsi" w:cstheme="majorHAnsi"/>
          <w:color w:val="000000"/>
          <w:sz w:val="20"/>
          <w:szCs w:val="20"/>
        </w:rPr>
        <w:t xml:space="preserve"> by audience age group, in nine languages</w:t>
      </w:r>
      <w:r w:rsidRPr="001B4ADA">
        <w:rPr>
          <w:rFonts w:asciiTheme="majorHAnsi" w:hAnsiTheme="majorHAnsi" w:cstheme="majorHAnsi"/>
          <w:sz w:val="20"/>
          <w:szCs w:val="20"/>
        </w:rPr>
        <w:t>.</w:t>
      </w:r>
      <w:r w:rsidRPr="001B4ADA">
        <w:rPr>
          <w:rFonts w:asciiTheme="majorHAnsi" w:hAnsiTheme="majorHAnsi" w:cstheme="majorHAnsi"/>
          <w:color w:val="000000"/>
          <w:sz w:val="20"/>
          <w:szCs w:val="20"/>
        </w:rPr>
        <w:t xml:space="preserve"> Bankers and community service providers can use free Money Smart </w:t>
      </w:r>
      <w:hyperlink r:id="rId23" w:history="1">
        <w:r w:rsidRPr="001B4ADA">
          <w:rPr>
            <w:rStyle w:val="Hyperlink"/>
            <w:rFonts w:asciiTheme="majorHAnsi" w:hAnsiTheme="majorHAnsi" w:cstheme="majorHAnsi"/>
            <w:sz w:val="20"/>
            <w:szCs w:val="20"/>
          </w:rPr>
          <w:t>tools</w:t>
        </w:r>
      </w:hyperlink>
      <w:r w:rsidRPr="001B4ADA">
        <w:rPr>
          <w:rFonts w:asciiTheme="majorHAnsi" w:hAnsiTheme="majorHAnsi" w:cstheme="majorHAnsi"/>
          <w:color w:val="000000"/>
          <w:sz w:val="20"/>
          <w:szCs w:val="20"/>
        </w:rPr>
        <w:t xml:space="preserve"> to teach or </w:t>
      </w:r>
      <w:hyperlink r:id="rId24" w:history="1">
        <w:r w:rsidRPr="001B4ADA">
          <w:rPr>
            <w:rStyle w:val="Hyperlink"/>
            <w:rFonts w:asciiTheme="majorHAnsi" w:hAnsiTheme="majorHAnsi" w:cstheme="majorHAnsi"/>
            <w:sz w:val="20"/>
            <w:szCs w:val="20"/>
          </w:rPr>
          <w:t>learn</w:t>
        </w:r>
      </w:hyperlink>
      <w:r w:rsidRPr="001B4ADA">
        <w:rPr>
          <w:rFonts w:asciiTheme="majorHAnsi" w:hAnsiTheme="majorHAnsi" w:cstheme="majorHAnsi"/>
          <w:color w:val="000000"/>
          <w:sz w:val="20"/>
          <w:szCs w:val="20"/>
        </w:rPr>
        <w:t xml:space="preserve"> about basic financial topics. Another Money Smart program helps </w:t>
      </w:r>
      <w:hyperlink r:id="rId25" w:history="1">
        <w:r w:rsidRPr="001B4ADA">
          <w:rPr>
            <w:rStyle w:val="Hyperlink"/>
            <w:rFonts w:asciiTheme="majorHAnsi" w:hAnsiTheme="majorHAnsi" w:cstheme="majorHAnsi"/>
            <w:sz w:val="20"/>
            <w:szCs w:val="20"/>
          </w:rPr>
          <w:t>new and aspiring entrepreneurs</w:t>
        </w:r>
      </w:hyperlink>
      <w:r w:rsidRPr="001B4ADA">
        <w:rPr>
          <w:rFonts w:asciiTheme="majorHAnsi" w:hAnsiTheme="majorHAnsi" w:cstheme="majorHAnsi"/>
          <w:color w:val="000000"/>
          <w:sz w:val="20"/>
          <w:szCs w:val="20"/>
        </w:rPr>
        <w:t xml:space="preserve"> understand business financial basics.</w:t>
      </w:r>
    </w:p>
    <w:p w:rsidR="001B4ADA" w:rsidRPr="00993657" w:rsidRDefault="001B4ADA" w:rsidP="001B4ADA">
      <w:pPr>
        <w:rPr>
          <w:rFonts w:cstheme="minorHAnsi"/>
          <w:sz w:val="18"/>
          <w:szCs w:val="16"/>
        </w:rPr>
      </w:pPr>
    </w:p>
    <w:p w:rsidR="001B4ADA" w:rsidRPr="00CE2150" w:rsidRDefault="00993657" w:rsidP="001B4ADA">
      <w:pPr>
        <w:rPr>
          <w:rFonts w:cstheme="minorHAnsi"/>
          <w:b/>
          <w:sz w:val="20"/>
          <w:szCs w:val="20"/>
          <w:u w:val="single"/>
        </w:rPr>
      </w:pPr>
      <w:proofErr w:type="gramStart"/>
      <w:r>
        <w:rPr>
          <w:rFonts w:cstheme="minorHAnsi"/>
          <w:b/>
          <w:sz w:val="20"/>
          <w:szCs w:val="20"/>
        </w:rPr>
        <w:t>TABLE 5</w:t>
      </w:r>
      <w:r w:rsidR="001B4ADA" w:rsidRPr="00CE2150">
        <w:rPr>
          <w:rFonts w:cstheme="minorHAnsi"/>
          <w:b/>
          <w:sz w:val="20"/>
          <w:szCs w:val="20"/>
        </w:rPr>
        <w:t>.</w:t>
      </w:r>
      <w:proofErr w:type="gramEnd"/>
      <w:r w:rsidR="001B4ADA" w:rsidRPr="00CE2150">
        <w:rPr>
          <w:rFonts w:cstheme="minorHAnsi"/>
          <w:b/>
          <w:sz w:val="20"/>
          <w:szCs w:val="20"/>
        </w:rPr>
        <w:t xml:space="preserve"> </w:t>
      </w:r>
      <w:r w:rsidR="001B4ADA" w:rsidRPr="00CE2150">
        <w:rPr>
          <w:rFonts w:cstheme="minorHAnsi"/>
          <w:color w:val="C00000"/>
        </w:rPr>
        <w:t>*</w:t>
      </w:r>
      <w:hyperlink r:id="rId26" w:history="1">
        <w:r w:rsidR="001B4ADA" w:rsidRPr="00CE2150">
          <w:rPr>
            <w:rStyle w:val="Hyperlink"/>
            <w:rFonts w:cstheme="minorHAnsi"/>
            <w:b/>
            <w:sz w:val="20"/>
            <w:szCs w:val="20"/>
          </w:rPr>
          <w:t>Federal Reserve Bank of Boston</w:t>
        </w:r>
      </w:hyperlink>
      <w:r w:rsidR="001B4ADA" w:rsidRPr="00CE2150">
        <w:rPr>
          <w:rFonts w:cstheme="minorHAnsi"/>
          <w:b/>
          <w:sz w:val="20"/>
          <w:szCs w:val="20"/>
        </w:rPr>
        <w:t>:</w:t>
      </w:r>
      <w:r w:rsidR="001B4ADA">
        <w:rPr>
          <w:rFonts w:cstheme="minorHAnsi"/>
          <w:b/>
          <w:sz w:val="20"/>
          <w:szCs w:val="20"/>
        </w:rPr>
        <w:t xml:space="preserve"> </w:t>
      </w:r>
      <w:r w:rsidR="001B4ADA" w:rsidRPr="00CE2150">
        <w:rPr>
          <w:rFonts w:cstheme="minorHAnsi"/>
          <w:b/>
          <w:sz w:val="20"/>
          <w:szCs w:val="20"/>
        </w:rPr>
        <w:t xml:space="preserve"> </w:t>
      </w:r>
      <w:r w:rsidR="001B4ADA">
        <w:rPr>
          <w:rFonts w:cstheme="minorHAnsi"/>
          <w:b/>
          <w:color w:val="7030A0"/>
          <w:sz w:val="20"/>
          <w:szCs w:val="20"/>
        </w:rPr>
        <w:t>Sarah Savage</w:t>
      </w:r>
    </w:p>
    <w:p w:rsidR="001B4ADA" w:rsidRPr="001B4ADA" w:rsidRDefault="001B4ADA" w:rsidP="001B4ADA">
      <w:pPr>
        <w:rPr>
          <w:rFonts w:asciiTheme="majorHAnsi" w:hAnsiTheme="majorHAnsi" w:cstheme="majorHAnsi"/>
          <w:sz w:val="20"/>
          <w:szCs w:val="20"/>
        </w:rPr>
      </w:pPr>
      <w:r w:rsidRPr="001B4ADA">
        <w:rPr>
          <w:rFonts w:asciiTheme="majorHAnsi" w:hAnsiTheme="majorHAnsi" w:cstheme="majorHAnsi"/>
          <w:sz w:val="20"/>
          <w:szCs w:val="20"/>
        </w:rPr>
        <w:t xml:space="preserve">The Community Development function of the Boston Fed promotes economic growth in lower-income communities by convening stakeholders, conducting research, and identifying approaches that work. </w:t>
      </w:r>
      <w:r w:rsidR="00993657">
        <w:rPr>
          <w:rFonts w:asciiTheme="majorHAnsi" w:hAnsiTheme="majorHAnsi" w:cstheme="majorHAnsi"/>
          <w:sz w:val="20"/>
          <w:szCs w:val="20"/>
        </w:rPr>
        <w:t>Two</w:t>
      </w:r>
      <w:r w:rsidRPr="001B4ADA">
        <w:rPr>
          <w:rFonts w:asciiTheme="majorHAnsi" w:hAnsiTheme="majorHAnsi" w:cstheme="majorHAnsi"/>
          <w:sz w:val="20"/>
          <w:szCs w:val="20"/>
        </w:rPr>
        <w:t xml:space="preserve"> areas of focus include advancing household financial stability and promoting workforce development. We focus on research and interventions that can impact savings behaviors, increase</w:t>
      </w:r>
      <w:r w:rsidRPr="001B4ADA">
        <w:rPr>
          <w:rFonts w:asciiTheme="majorHAnsi" w:eastAsia="Times New Roman" w:hAnsiTheme="majorHAnsi" w:cstheme="majorHAnsi"/>
          <w:sz w:val="20"/>
          <w:szCs w:val="20"/>
        </w:rPr>
        <w:t xml:space="preserve"> college at</w:t>
      </w:r>
      <w:r w:rsidRPr="001B4ADA">
        <w:rPr>
          <w:rFonts w:asciiTheme="majorHAnsi" w:hAnsiTheme="majorHAnsi" w:cstheme="majorHAnsi"/>
          <w:sz w:val="20"/>
          <w:szCs w:val="20"/>
        </w:rPr>
        <w:t xml:space="preserve">tendance, and lead to higher graduation rates. Our initiatives include </w:t>
      </w:r>
      <w:hyperlink r:id="rId27" w:history="1">
        <w:r w:rsidRPr="001B4ADA">
          <w:rPr>
            <w:rStyle w:val="Hyperlink"/>
            <w:rFonts w:asciiTheme="majorHAnsi" w:hAnsiTheme="majorHAnsi" w:cstheme="majorHAnsi"/>
            <w:sz w:val="20"/>
            <w:szCs w:val="20"/>
          </w:rPr>
          <w:t>Children's Savings Accounts</w:t>
        </w:r>
      </w:hyperlink>
      <w:r w:rsidRPr="001B4ADA">
        <w:rPr>
          <w:rFonts w:asciiTheme="majorHAnsi" w:hAnsiTheme="majorHAnsi" w:cstheme="majorHAnsi"/>
          <w:color w:val="666666"/>
          <w:sz w:val="20"/>
          <w:szCs w:val="20"/>
        </w:rPr>
        <w:t xml:space="preserve"> </w:t>
      </w:r>
      <w:r w:rsidRPr="001B4ADA">
        <w:rPr>
          <w:rFonts w:asciiTheme="majorHAnsi" w:hAnsiTheme="majorHAnsi" w:cstheme="majorHAnsi"/>
          <w:sz w:val="20"/>
          <w:szCs w:val="20"/>
        </w:rPr>
        <w:t xml:space="preserve">(CSAs), which are </w:t>
      </w:r>
      <w:r w:rsidRPr="001B4ADA">
        <w:rPr>
          <w:rFonts w:asciiTheme="majorHAnsi" w:eastAsia="Times New Roman" w:hAnsiTheme="majorHAnsi" w:cstheme="majorHAnsi"/>
          <w:sz w:val="20"/>
          <w:szCs w:val="20"/>
        </w:rPr>
        <w:t>highly promising long-term, asset-building accounts</w:t>
      </w:r>
      <w:r w:rsidRPr="001B4ADA">
        <w:rPr>
          <w:rFonts w:asciiTheme="majorHAnsi" w:hAnsiTheme="majorHAnsi" w:cstheme="majorHAnsi"/>
          <w:sz w:val="20"/>
          <w:szCs w:val="20"/>
        </w:rPr>
        <w:t xml:space="preserve"> used</w:t>
      </w:r>
      <w:r w:rsidRPr="001B4ADA">
        <w:rPr>
          <w:rFonts w:asciiTheme="majorHAnsi" w:eastAsia="Times New Roman" w:hAnsiTheme="majorHAnsi" w:cstheme="majorHAnsi"/>
          <w:sz w:val="20"/>
          <w:szCs w:val="20"/>
        </w:rPr>
        <w:t xml:space="preserve"> to fin</w:t>
      </w:r>
      <w:r w:rsidRPr="001B4ADA">
        <w:rPr>
          <w:rFonts w:asciiTheme="majorHAnsi" w:hAnsiTheme="majorHAnsi" w:cstheme="majorHAnsi"/>
          <w:sz w:val="20"/>
          <w:szCs w:val="20"/>
        </w:rPr>
        <w:t xml:space="preserve">ance qualified higher education, and </w:t>
      </w:r>
      <w:hyperlink r:id="rId28" w:history="1">
        <w:r w:rsidRPr="001B4ADA">
          <w:rPr>
            <w:rStyle w:val="Hyperlink"/>
            <w:rFonts w:asciiTheme="majorHAnsi" w:hAnsiTheme="majorHAnsi" w:cstheme="majorHAnsi"/>
            <w:sz w:val="20"/>
            <w:szCs w:val="20"/>
          </w:rPr>
          <w:t>community college financial capability</w:t>
        </w:r>
      </w:hyperlink>
      <w:r w:rsidRPr="001B4ADA">
        <w:rPr>
          <w:rFonts w:asciiTheme="majorHAnsi" w:hAnsiTheme="majorHAnsi" w:cstheme="majorHAnsi"/>
          <w:color w:val="666666"/>
          <w:sz w:val="20"/>
          <w:szCs w:val="20"/>
        </w:rPr>
        <w:t xml:space="preserve"> </w:t>
      </w:r>
      <w:r w:rsidRPr="001B4ADA">
        <w:rPr>
          <w:rFonts w:asciiTheme="majorHAnsi" w:hAnsiTheme="majorHAnsi" w:cstheme="majorHAnsi"/>
          <w:sz w:val="20"/>
          <w:szCs w:val="20"/>
        </w:rPr>
        <w:t>strategies that address disruptive financial emergencies, poor budgeting, and poor financial planning—all of which contribute to higher incidences of dropouts, defaults on student loans, and poor use of credit.</w:t>
      </w:r>
    </w:p>
    <w:p w:rsidR="00993657" w:rsidRPr="00993657" w:rsidRDefault="00993657" w:rsidP="001B4ADA">
      <w:pPr>
        <w:rPr>
          <w:rFonts w:cstheme="minorHAnsi"/>
          <w:sz w:val="18"/>
          <w:szCs w:val="20"/>
        </w:rPr>
      </w:pPr>
    </w:p>
    <w:p w:rsidR="001B4ADA" w:rsidRPr="00CE2150" w:rsidRDefault="00993657" w:rsidP="001B4ADA">
      <w:pPr>
        <w:rPr>
          <w:rFonts w:cstheme="minorHAnsi"/>
          <w:b/>
          <w:sz w:val="20"/>
          <w:szCs w:val="20"/>
          <w:u w:val="single"/>
        </w:rPr>
      </w:pPr>
      <w:proofErr w:type="gramStart"/>
      <w:r>
        <w:rPr>
          <w:rFonts w:cstheme="minorHAnsi"/>
          <w:b/>
          <w:sz w:val="20"/>
          <w:szCs w:val="20"/>
        </w:rPr>
        <w:t>TABLE 6</w:t>
      </w:r>
      <w:r w:rsidR="001B4ADA" w:rsidRPr="00CE2150">
        <w:rPr>
          <w:rFonts w:cstheme="minorHAnsi"/>
          <w:b/>
          <w:sz w:val="20"/>
          <w:szCs w:val="20"/>
        </w:rPr>
        <w:t>.</w:t>
      </w:r>
      <w:proofErr w:type="gramEnd"/>
      <w:r w:rsidR="001B4ADA">
        <w:rPr>
          <w:rFonts w:cstheme="minorHAnsi"/>
          <w:b/>
          <w:sz w:val="20"/>
          <w:szCs w:val="20"/>
        </w:rPr>
        <w:t xml:space="preserve"> </w:t>
      </w:r>
      <w:hyperlink r:id="rId29" w:history="1">
        <w:r w:rsidR="001B4ADA" w:rsidRPr="00002394">
          <w:rPr>
            <w:rStyle w:val="Hyperlink"/>
            <w:b/>
            <w:sz w:val="20"/>
            <w:szCs w:val="20"/>
          </w:rPr>
          <w:t>Federal Reserve Bank of New York</w:t>
        </w:r>
      </w:hyperlink>
      <w:r w:rsidR="001B4ADA" w:rsidRPr="00CE2150">
        <w:rPr>
          <w:rFonts w:cstheme="minorHAnsi"/>
          <w:b/>
          <w:sz w:val="20"/>
          <w:szCs w:val="20"/>
        </w:rPr>
        <w:t xml:space="preserve">: </w:t>
      </w:r>
      <w:r w:rsidR="001B4ADA">
        <w:rPr>
          <w:rFonts w:cstheme="minorHAnsi"/>
          <w:b/>
          <w:sz w:val="20"/>
          <w:szCs w:val="20"/>
        </w:rPr>
        <w:t xml:space="preserve"> </w:t>
      </w:r>
      <w:r w:rsidR="001B4ADA">
        <w:rPr>
          <w:rFonts w:cstheme="minorHAnsi"/>
          <w:b/>
          <w:color w:val="7030A0"/>
          <w:sz w:val="20"/>
          <w:szCs w:val="20"/>
        </w:rPr>
        <w:t>Tony Davis</w:t>
      </w:r>
    </w:p>
    <w:p w:rsidR="001B4ADA" w:rsidRPr="001B4ADA" w:rsidRDefault="001B4ADA" w:rsidP="001B4ADA">
      <w:pPr>
        <w:rPr>
          <w:rFonts w:asciiTheme="majorHAnsi" w:hAnsiTheme="majorHAnsi" w:cstheme="majorHAnsi"/>
          <w:sz w:val="20"/>
          <w:szCs w:val="20"/>
        </w:rPr>
      </w:pPr>
      <w:r w:rsidRPr="001B4ADA">
        <w:rPr>
          <w:rFonts w:asciiTheme="majorHAnsi" w:hAnsiTheme="majorHAnsi" w:cstheme="majorHAnsi"/>
          <w:sz w:val="20"/>
          <w:szCs w:val="20"/>
        </w:rPr>
        <w:t>The New York Fed engages with individuals, households, and businesses in the Second District and maintains an active dialogue in the region. The Bank gathers and shares regional economic intelligence to inform our community and policy makers and promotes sound financial and economic decisions through community development and education programs.</w:t>
      </w:r>
    </w:p>
    <w:p w:rsidR="001B4ADA" w:rsidRPr="00CE2150" w:rsidRDefault="00993657" w:rsidP="001B4ADA">
      <w:pPr>
        <w:rPr>
          <w:rFonts w:cstheme="minorHAnsi"/>
          <w:b/>
          <w:sz w:val="20"/>
          <w:szCs w:val="20"/>
          <w:u w:val="single"/>
        </w:rPr>
      </w:pPr>
      <w:proofErr w:type="gramStart"/>
      <w:r>
        <w:rPr>
          <w:rFonts w:cstheme="minorHAnsi"/>
          <w:b/>
          <w:sz w:val="20"/>
          <w:szCs w:val="20"/>
        </w:rPr>
        <w:t>TABLE 7</w:t>
      </w:r>
      <w:r w:rsidR="001B4ADA" w:rsidRPr="00CE2150">
        <w:rPr>
          <w:rFonts w:cstheme="minorHAnsi"/>
          <w:b/>
          <w:sz w:val="20"/>
          <w:szCs w:val="20"/>
        </w:rPr>
        <w:t>.</w:t>
      </w:r>
      <w:proofErr w:type="gramEnd"/>
      <w:r w:rsidR="001B4ADA" w:rsidRPr="00CE2150">
        <w:rPr>
          <w:rFonts w:cstheme="minorHAnsi"/>
          <w:b/>
          <w:sz w:val="20"/>
          <w:szCs w:val="20"/>
        </w:rPr>
        <w:t xml:space="preserve"> </w:t>
      </w:r>
      <w:hyperlink r:id="rId30" w:history="1">
        <w:r w:rsidR="001B4ADA" w:rsidRPr="00CE2150">
          <w:rPr>
            <w:rStyle w:val="Hyperlink"/>
            <w:rFonts w:cstheme="minorHAnsi"/>
            <w:b/>
            <w:sz w:val="20"/>
            <w:szCs w:val="20"/>
          </w:rPr>
          <w:t>Financial Literacy and Education Commission (FLEC)</w:t>
        </w:r>
      </w:hyperlink>
      <w:r w:rsidR="001B4ADA" w:rsidRPr="00CE2150">
        <w:rPr>
          <w:rFonts w:cstheme="minorHAnsi"/>
          <w:b/>
          <w:sz w:val="20"/>
          <w:szCs w:val="20"/>
        </w:rPr>
        <w:t xml:space="preserve">:  </w:t>
      </w:r>
      <w:r w:rsidR="001B4ADA" w:rsidRPr="00CE2150">
        <w:rPr>
          <w:rFonts w:cstheme="minorHAnsi"/>
          <w:b/>
          <w:color w:val="7030A0"/>
          <w:sz w:val="20"/>
          <w:szCs w:val="20"/>
        </w:rPr>
        <w:t xml:space="preserve">Arturo Gonzalez and Louisa </w:t>
      </w:r>
      <w:proofErr w:type="spellStart"/>
      <w:r w:rsidR="001B4ADA" w:rsidRPr="00CE2150">
        <w:rPr>
          <w:rFonts w:cstheme="minorHAnsi"/>
          <w:b/>
          <w:color w:val="7030A0"/>
          <w:sz w:val="20"/>
          <w:szCs w:val="20"/>
        </w:rPr>
        <w:t>Quittman</w:t>
      </w:r>
      <w:proofErr w:type="spellEnd"/>
    </w:p>
    <w:p w:rsidR="001B4ADA" w:rsidRPr="001B4ADA" w:rsidRDefault="001B4ADA" w:rsidP="001B4ADA">
      <w:pPr>
        <w:rPr>
          <w:rFonts w:asciiTheme="majorHAnsi" w:hAnsiTheme="majorHAnsi" w:cstheme="majorHAnsi"/>
          <w:sz w:val="20"/>
          <w:szCs w:val="20"/>
        </w:rPr>
      </w:pPr>
      <w:r w:rsidRPr="001B4ADA">
        <w:rPr>
          <w:rFonts w:asciiTheme="majorHAnsi" w:hAnsiTheme="majorHAnsi" w:cstheme="majorHAnsi"/>
          <w:color w:val="2A2A2A"/>
          <w:sz w:val="20"/>
          <w:szCs w:val="20"/>
        </w:rPr>
        <w:t xml:space="preserve">The Commission—chaired by the Secretary of the Treasury and composed of the heads of 19 additional federal agencies—was tasked with developing a national financial education website and a national strategy on financial education. </w:t>
      </w:r>
      <w:r w:rsidRPr="001B4ADA">
        <w:rPr>
          <w:rFonts w:asciiTheme="majorHAnsi" w:hAnsiTheme="majorHAnsi" w:cstheme="majorHAnsi"/>
          <w:sz w:val="20"/>
          <w:szCs w:val="20"/>
        </w:rPr>
        <w:t xml:space="preserve">FLEC’s website, </w:t>
      </w:r>
      <w:hyperlink r:id="rId31" w:history="1">
        <w:r w:rsidRPr="001B4ADA">
          <w:rPr>
            <w:rStyle w:val="Hyperlink"/>
            <w:rFonts w:asciiTheme="majorHAnsi" w:hAnsiTheme="majorHAnsi" w:cstheme="majorHAnsi"/>
            <w:bCs/>
            <w:sz w:val="20"/>
            <w:szCs w:val="20"/>
          </w:rPr>
          <w:t>MyMoney.gov</w:t>
        </w:r>
      </w:hyperlink>
      <w:r w:rsidRPr="001B4ADA">
        <w:rPr>
          <w:rFonts w:asciiTheme="majorHAnsi" w:hAnsiTheme="majorHAnsi" w:cstheme="majorHAnsi"/>
          <w:color w:val="2A2A2A"/>
          <w:sz w:val="20"/>
          <w:szCs w:val="20"/>
        </w:rPr>
        <w:t xml:space="preserve">, is also available in Spanish and serves as a one-stop shop for federal financial literacy and education programs, grants, and other information. We also document </w:t>
      </w:r>
      <w:hyperlink r:id="rId32" w:history="1">
        <w:r w:rsidRPr="001B4ADA">
          <w:rPr>
            <w:rStyle w:val="Hyperlink"/>
            <w:rFonts w:asciiTheme="majorHAnsi" w:hAnsiTheme="majorHAnsi" w:cstheme="majorHAnsi"/>
            <w:sz w:val="20"/>
            <w:szCs w:val="20"/>
          </w:rPr>
          <w:t>Youth Savings Programs</w:t>
        </w:r>
      </w:hyperlink>
      <w:r w:rsidRPr="001B4ADA">
        <w:rPr>
          <w:rFonts w:asciiTheme="majorHAnsi" w:hAnsiTheme="majorHAnsi" w:cstheme="majorHAnsi"/>
          <w:color w:val="2A2A2A"/>
          <w:sz w:val="20"/>
          <w:szCs w:val="20"/>
        </w:rPr>
        <w:t xml:space="preserve">, </w:t>
      </w:r>
      <w:hyperlink r:id="rId33" w:history="1">
        <w:r w:rsidRPr="001B4ADA">
          <w:rPr>
            <w:rStyle w:val="Hyperlink"/>
            <w:rFonts w:asciiTheme="majorHAnsi" w:hAnsiTheme="majorHAnsi" w:cstheme="majorHAnsi"/>
            <w:sz w:val="20"/>
            <w:szCs w:val="20"/>
          </w:rPr>
          <w:t>College Savings and Financing Resources</w:t>
        </w:r>
      </w:hyperlink>
      <w:r w:rsidRPr="001B4ADA">
        <w:rPr>
          <w:rFonts w:asciiTheme="majorHAnsi" w:hAnsiTheme="majorHAnsi" w:cstheme="majorHAnsi"/>
          <w:color w:val="2A2A2A"/>
          <w:sz w:val="20"/>
          <w:szCs w:val="20"/>
        </w:rPr>
        <w:t xml:space="preserve">, and </w:t>
      </w:r>
      <w:hyperlink r:id="rId34" w:history="1">
        <w:r w:rsidRPr="001B4ADA">
          <w:rPr>
            <w:rStyle w:val="Hyperlink"/>
            <w:rFonts w:asciiTheme="majorHAnsi" w:hAnsiTheme="majorHAnsi" w:cstheme="majorHAnsi"/>
            <w:sz w:val="20"/>
            <w:szCs w:val="20"/>
          </w:rPr>
          <w:t>Opportunities to Improve the Financial Capability and Financial Well-being of Post-Secondary Students</w:t>
        </w:r>
      </w:hyperlink>
      <w:r w:rsidRPr="001B4ADA">
        <w:rPr>
          <w:rFonts w:asciiTheme="majorHAnsi" w:hAnsiTheme="majorHAnsi" w:cstheme="majorHAnsi"/>
          <w:color w:val="2A2A2A"/>
          <w:sz w:val="20"/>
          <w:szCs w:val="20"/>
        </w:rPr>
        <w:t>.</w:t>
      </w:r>
    </w:p>
    <w:p w:rsidR="001B4ADA" w:rsidRPr="004429B0" w:rsidRDefault="001B4ADA" w:rsidP="001B4ADA">
      <w:pPr>
        <w:rPr>
          <w:rFonts w:cstheme="minorHAnsi"/>
          <w:sz w:val="18"/>
          <w:szCs w:val="16"/>
        </w:rPr>
      </w:pPr>
    </w:p>
    <w:p w:rsidR="001B4ADA" w:rsidRPr="00CE2150" w:rsidRDefault="00993657" w:rsidP="001B4ADA">
      <w:pPr>
        <w:rPr>
          <w:rFonts w:cstheme="minorHAnsi"/>
          <w:b/>
          <w:sz w:val="20"/>
          <w:szCs w:val="20"/>
          <w:u w:val="single"/>
        </w:rPr>
      </w:pPr>
      <w:proofErr w:type="gramStart"/>
      <w:r>
        <w:rPr>
          <w:rFonts w:cstheme="minorHAnsi"/>
          <w:b/>
          <w:sz w:val="20"/>
          <w:szCs w:val="20"/>
        </w:rPr>
        <w:t>TABLE 8</w:t>
      </w:r>
      <w:r w:rsidR="001B4ADA" w:rsidRPr="00CE2150">
        <w:rPr>
          <w:rFonts w:cstheme="minorHAnsi"/>
          <w:b/>
          <w:sz w:val="20"/>
          <w:szCs w:val="20"/>
        </w:rPr>
        <w:t>.</w:t>
      </w:r>
      <w:proofErr w:type="gramEnd"/>
      <w:r w:rsidR="001B4ADA" w:rsidRPr="00CE2150">
        <w:rPr>
          <w:rFonts w:cstheme="minorHAnsi"/>
          <w:b/>
          <w:sz w:val="20"/>
          <w:szCs w:val="20"/>
        </w:rPr>
        <w:t xml:space="preserve"> </w:t>
      </w:r>
      <w:hyperlink r:id="rId35" w:history="1">
        <w:r w:rsidR="001B4ADA" w:rsidRPr="00CE2150">
          <w:rPr>
            <w:rStyle w:val="Hyperlink"/>
            <w:rFonts w:cstheme="minorHAnsi"/>
            <w:b/>
            <w:sz w:val="20"/>
            <w:szCs w:val="20"/>
          </w:rPr>
          <w:t>My Path</w:t>
        </w:r>
      </w:hyperlink>
      <w:r w:rsidR="001B4ADA" w:rsidRPr="00CE2150">
        <w:rPr>
          <w:rFonts w:cstheme="minorHAnsi"/>
          <w:b/>
          <w:sz w:val="20"/>
          <w:szCs w:val="20"/>
        </w:rPr>
        <w:t>:</w:t>
      </w:r>
      <w:r w:rsidR="001B4ADA">
        <w:rPr>
          <w:rFonts w:cstheme="minorHAnsi"/>
          <w:b/>
          <w:sz w:val="20"/>
          <w:szCs w:val="20"/>
        </w:rPr>
        <w:t xml:space="preserve"> </w:t>
      </w:r>
      <w:r w:rsidR="001B4ADA" w:rsidRPr="00CE2150">
        <w:rPr>
          <w:rFonts w:cstheme="minorHAnsi"/>
          <w:b/>
          <w:sz w:val="20"/>
          <w:szCs w:val="20"/>
        </w:rPr>
        <w:t xml:space="preserve"> </w:t>
      </w:r>
      <w:r w:rsidR="001B4ADA" w:rsidRPr="00CE2150">
        <w:rPr>
          <w:rFonts w:cstheme="minorHAnsi"/>
          <w:b/>
          <w:color w:val="7030A0"/>
          <w:sz w:val="20"/>
          <w:szCs w:val="20"/>
        </w:rPr>
        <w:t>Lauren Larin</w:t>
      </w:r>
    </w:p>
    <w:p w:rsidR="001B4ADA" w:rsidRPr="001B4ADA" w:rsidRDefault="001B4ADA" w:rsidP="001B4ADA">
      <w:pPr>
        <w:rPr>
          <w:rFonts w:asciiTheme="majorHAnsi" w:hAnsiTheme="majorHAnsi" w:cstheme="majorHAnsi"/>
          <w:sz w:val="20"/>
          <w:szCs w:val="20"/>
        </w:rPr>
      </w:pPr>
      <w:proofErr w:type="spellStart"/>
      <w:r w:rsidRPr="001B4ADA">
        <w:rPr>
          <w:rFonts w:asciiTheme="majorHAnsi" w:hAnsiTheme="majorHAnsi" w:cstheme="majorHAnsi"/>
          <w:sz w:val="20"/>
          <w:szCs w:val="20"/>
        </w:rPr>
        <w:t>MyPath</w:t>
      </w:r>
      <w:proofErr w:type="spellEnd"/>
      <w:r w:rsidRPr="001B4ADA">
        <w:rPr>
          <w:rFonts w:asciiTheme="majorHAnsi" w:hAnsiTheme="majorHAnsi" w:cstheme="majorHAnsi"/>
          <w:sz w:val="20"/>
          <w:szCs w:val="20"/>
        </w:rPr>
        <w:t xml:space="preserve"> provides training and technical assistance to city agencies, nonprofits, and financial institutions with the goal of supporting them in building and embedding financial capability pathways in youth workforce systems and programs. </w:t>
      </w:r>
      <w:hyperlink r:id="rId36" w:history="1">
        <w:proofErr w:type="spellStart"/>
        <w:r w:rsidRPr="001B4ADA">
          <w:rPr>
            <w:rStyle w:val="Hyperlink"/>
            <w:rFonts w:asciiTheme="majorHAnsi" w:hAnsiTheme="majorHAnsi" w:cstheme="majorHAnsi"/>
            <w:bCs/>
            <w:sz w:val="20"/>
            <w:szCs w:val="20"/>
          </w:rPr>
          <w:t>MyPath</w:t>
        </w:r>
        <w:proofErr w:type="spellEnd"/>
        <w:r w:rsidRPr="001B4ADA">
          <w:rPr>
            <w:rStyle w:val="Hyperlink"/>
            <w:rFonts w:asciiTheme="majorHAnsi" w:hAnsiTheme="majorHAnsi" w:cstheme="majorHAnsi"/>
            <w:bCs/>
            <w:sz w:val="20"/>
            <w:szCs w:val="20"/>
          </w:rPr>
          <w:t xml:space="preserve"> Savings</w:t>
        </w:r>
      </w:hyperlink>
      <w:r w:rsidRPr="001B4ADA">
        <w:rPr>
          <w:rFonts w:asciiTheme="majorHAnsi" w:hAnsiTheme="majorHAnsi" w:cstheme="majorHAnsi"/>
          <w:bCs/>
          <w:sz w:val="20"/>
          <w:szCs w:val="20"/>
        </w:rPr>
        <w:t xml:space="preserve"> is a tested banking and savings model</w:t>
      </w:r>
      <w:r w:rsidRPr="001B4ADA">
        <w:rPr>
          <w:rFonts w:asciiTheme="majorHAnsi" w:hAnsiTheme="majorHAnsi" w:cstheme="majorHAnsi"/>
          <w:sz w:val="20"/>
          <w:szCs w:val="20"/>
        </w:rPr>
        <w:t xml:space="preserve"> that seamlessly integrates key financial capability components into youth workforce programs. Also of interest is our </w:t>
      </w:r>
      <w:hyperlink r:id="rId37" w:history="1">
        <w:proofErr w:type="spellStart"/>
        <w:r w:rsidRPr="001B4ADA">
          <w:rPr>
            <w:rStyle w:val="Hyperlink"/>
            <w:rFonts w:asciiTheme="majorHAnsi" w:hAnsiTheme="majorHAnsi" w:cstheme="majorHAnsi"/>
            <w:sz w:val="20"/>
            <w:szCs w:val="20"/>
          </w:rPr>
          <w:t>MyPath</w:t>
        </w:r>
        <w:proofErr w:type="spellEnd"/>
        <w:r w:rsidRPr="001B4ADA">
          <w:rPr>
            <w:rStyle w:val="Hyperlink"/>
            <w:rFonts w:asciiTheme="majorHAnsi" w:hAnsiTheme="majorHAnsi" w:cstheme="majorHAnsi"/>
            <w:sz w:val="20"/>
            <w:szCs w:val="20"/>
          </w:rPr>
          <w:t xml:space="preserve"> Credit</w:t>
        </w:r>
      </w:hyperlink>
      <w:r w:rsidRPr="001B4ADA">
        <w:rPr>
          <w:rFonts w:asciiTheme="majorHAnsi" w:hAnsiTheme="majorHAnsi" w:cstheme="majorHAnsi"/>
          <w:sz w:val="20"/>
          <w:szCs w:val="20"/>
        </w:rPr>
        <w:t xml:space="preserve">, a program that engages young adults in </w:t>
      </w:r>
      <w:r w:rsidRPr="001B4ADA">
        <w:rPr>
          <w:rFonts w:asciiTheme="majorHAnsi" w:hAnsiTheme="majorHAnsi" w:cstheme="majorHAnsi"/>
          <w:bCs/>
          <w:sz w:val="20"/>
          <w:szCs w:val="20"/>
        </w:rPr>
        <w:t xml:space="preserve">credit-building and saving, </w:t>
      </w:r>
      <w:r w:rsidRPr="001B4ADA">
        <w:rPr>
          <w:rFonts w:asciiTheme="majorHAnsi" w:hAnsiTheme="majorHAnsi" w:cstheme="majorHAnsi"/>
          <w:sz w:val="20"/>
          <w:szCs w:val="20"/>
        </w:rPr>
        <w:t>increasing their access to quality employment, quality financial products, college, entrepreneurship, and housing.</w:t>
      </w:r>
    </w:p>
    <w:p w:rsidR="001B4ADA" w:rsidRPr="004429B0" w:rsidRDefault="001B4ADA" w:rsidP="001B4ADA">
      <w:pPr>
        <w:rPr>
          <w:rFonts w:cstheme="minorHAnsi"/>
          <w:sz w:val="18"/>
          <w:szCs w:val="16"/>
        </w:rPr>
      </w:pPr>
    </w:p>
    <w:p w:rsidR="001B4ADA" w:rsidRPr="00CE2150" w:rsidRDefault="00993657" w:rsidP="001B4ADA">
      <w:pPr>
        <w:rPr>
          <w:rFonts w:cstheme="minorHAnsi"/>
          <w:b/>
          <w:sz w:val="20"/>
          <w:szCs w:val="20"/>
          <w:u w:val="single"/>
        </w:rPr>
      </w:pPr>
      <w:proofErr w:type="gramStart"/>
      <w:r>
        <w:rPr>
          <w:rFonts w:cstheme="minorHAnsi"/>
          <w:b/>
          <w:sz w:val="20"/>
          <w:szCs w:val="20"/>
        </w:rPr>
        <w:t>TABLE 9</w:t>
      </w:r>
      <w:r w:rsidR="001B4ADA" w:rsidRPr="00CE2150">
        <w:rPr>
          <w:rFonts w:cstheme="minorHAnsi"/>
          <w:b/>
          <w:sz w:val="20"/>
          <w:szCs w:val="20"/>
        </w:rPr>
        <w:t>.</w:t>
      </w:r>
      <w:proofErr w:type="gramEnd"/>
      <w:r w:rsidR="001B4ADA" w:rsidRPr="00CE2150">
        <w:rPr>
          <w:rFonts w:cstheme="minorHAnsi"/>
          <w:b/>
          <w:sz w:val="20"/>
          <w:szCs w:val="20"/>
        </w:rPr>
        <w:t xml:space="preserve"> </w:t>
      </w:r>
      <w:hyperlink r:id="rId38" w:history="1">
        <w:r w:rsidR="001B4ADA" w:rsidRPr="00CE2150">
          <w:rPr>
            <w:rStyle w:val="Hyperlink"/>
            <w:rFonts w:cstheme="minorHAnsi"/>
            <w:b/>
            <w:sz w:val="20"/>
            <w:szCs w:val="20"/>
          </w:rPr>
          <w:t>National Jump$tart Coalition</w:t>
        </w:r>
      </w:hyperlink>
      <w:r w:rsidR="001B4ADA" w:rsidRPr="00CE2150">
        <w:rPr>
          <w:rFonts w:cstheme="minorHAnsi"/>
          <w:b/>
          <w:sz w:val="20"/>
          <w:szCs w:val="20"/>
        </w:rPr>
        <w:t>:</w:t>
      </w:r>
      <w:r w:rsidR="001B4ADA">
        <w:rPr>
          <w:rFonts w:cstheme="minorHAnsi"/>
          <w:b/>
          <w:sz w:val="20"/>
          <w:szCs w:val="20"/>
        </w:rPr>
        <w:t xml:space="preserve"> </w:t>
      </w:r>
      <w:r w:rsidR="001B4ADA" w:rsidRPr="00CE2150">
        <w:rPr>
          <w:rFonts w:cstheme="minorHAnsi"/>
          <w:b/>
          <w:sz w:val="20"/>
          <w:szCs w:val="20"/>
        </w:rPr>
        <w:t xml:space="preserve"> </w:t>
      </w:r>
      <w:r w:rsidR="001B4ADA" w:rsidRPr="00CE2150">
        <w:rPr>
          <w:rFonts w:cstheme="minorHAnsi"/>
          <w:b/>
          <w:color w:val="7030A0"/>
          <w:sz w:val="20"/>
          <w:szCs w:val="20"/>
        </w:rPr>
        <w:t>Laura Levine</w:t>
      </w:r>
    </w:p>
    <w:p w:rsidR="001B4ADA" w:rsidRPr="001B4ADA" w:rsidRDefault="001B4ADA" w:rsidP="001B4ADA">
      <w:pPr>
        <w:pStyle w:val="NormalWeb"/>
        <w:spacing w:before="0" w:beforeAutospacing="0" w:after="0"/>
        <w:ind w:left="0"/>
        <w:rPr>
          <w:rFonts w:asciiTheme="majorHAnsi" w:hAnsiTheme="majorHAnsi" w:cstheme="majorHAnsi"/>
          <w:sz w:val="20"/>
          <w:szCs w:val="20"/>
        </w:rPr>
      </w:pPr>
      <w:r w:rsidRPr="001B4ADA">
        <w:rPr>
          <w:rFonts w:asciiTheme="majorHAnsi" w:hAnsiTheme="majorHAnsi" w:cstheme="majorHAnsi"/>
          <w:sz w:val="20"/>
          <w:szCs w:val="20"/>
        </w:rPr>
        <w:t xml:space="preserve">Jump$tart is a coalition of diverse financial education stakeholders who work together to educate and prepare our nation's youth for life-long financial success. Many of our state networks offer conferences and trainings to build the capacity of educators trying to build the financial skills of young adults. We also offer the nation’s most comprehensive </w:t>
      </w:r>
      <w:hyperlink r:id="rId39" w:history="1">
        <w:r w:rsidRPr="001B4ADA">
          <w:rPr>
            <w:rStyle w:val="Hyperlink"/>
            <w:rFonts w:asciiTheme="majorHAnsi" w:hAnsiTheme="majorHAnsi" w:cstheme="majorHAnsi"/>
            <w:sz w:val="20"/>
            <w:szCs w:val="20"/>
          </w:rPr>
          <w:t>online collection</w:t>
        </w:r>
      </w:hyperlink>
      <w:r w:rsidRPr="001B4ADA">
        <w:rPr>
          <w:rFonts w:asciiTheme="majorHAnsi" w:hAnsiTheme="majorHAnsi" w:cstheme="majorHAnsi"/>
          <w:sz w:val="20"/>
          <w:szCs w:val="20"/>
        </w:rPr>
        <w:t xml:space="preserve"> of financial education resources suitable for students in pre-kindergarten through college. Our interactive, online “</w:t>
      </w:r>
      <w:hyperlink r:id="rId40" w:history="1">
        <w:r w:rsidRPr="001B4ADA">
          <w:rPr>
            <w:rStyle w:val="Hyperlink"/>
            <w:rFonts w:asciiTheme="majorHAnsi" w:hAnsiTheme="majorHAnsi" w:cstheme="majorHAnsi"/>
            <w:sz w:val="20"/>
            <w:szCs w:val="20"/>
          </w:rPr>
          <w:t>Reality Check</w:t>
        </w:r>
      </w:hyperlink>
      <w:r w:rsidRPr="001B4ADA">
        <w:rPr>
          <w:rFonts w:asciiTheme="majorHAnsi" w:hAnsiTheme="majorHAnsi" w:cstheme="majorHAnsi"/>
          <w:sz w:val="20"/>
          <w:szCs w:val="20"/>
        </w:rPr>
        <w:t>” for young adults helps them envision the financial challenges of balancing a budget when living independently. Educators can use our “</w:t>
      </w:r>
      <w:hyperlink r:id="rId41" w:history="1">
        <w:r w:rsidRPr="001B4ADA">
          <w:rPr>
            <w:rStyle w:val="Hyperlink"/>
            <w:rFonts w:asciiTheme="majorHAnsi" w:hAnsiTheme="majorHAnsi" w:cstheme="majorHAnsi"/>
            <w:sz w:val="20"/>
            <w:szCs w:val="20"/>
          </w:rPr>
          <w:t>Best Practice Guidelines</w:t>
        </w:r>
      </w:hyperlink>
      <w:r w:rsidRPr="001B4ADA">
        <w:rPr>
          <w:rFonts w:asciiTheme="majorHAnsi" w:hAnsiTheme="majorHAnsi" w:cstheme="majorHAnsi"/>
          <w:sz w:val="20"/>
          <w:szCs w:val="20"/>
        </w:rPr>
        <w:t>” to guide their selection of financial education materials.</w:t>
      </w:r>
    </w:p>
    <w:p w:rsidR="001B4ADA" w:rsidRPr="004429B0" w:rsidRDefault="001B4ADA" w:rsidP="001B4ADA">
      <w:pPr>
        <w:rPr>
          <w:rFonts w:cstheme="minorHAnsi"/>
          <w:sz w:val="18"/>
          <w:szCs w:val="16"/>
        </w:rPr>
      </w:pPr>
    </w:p>
    <w:p w:rsidR="001B4ADA" w:rsidRPr="00CE2150" w:rsidRDefault="00993657" w:rsidP="001B4ADA">
      <w:pPr>
        <w:rPr>
          <w:rFonts w:cstheme="minorHAnsi"/>
          <w:b/>
          <w:sz w:val="20"/>
          <w:szCs w:val="20"/>
          <w:u w:val="single"/>
        </w:rPr>
      </w:pPr>
      <w:proofErr w:type="gramStart"/>
      <w:r>
        <w:rPr>
          <w:rFonts w:cstheme="minorHAnsi"/>
          <w:b/>
          <w:sz w:val="20"/>
          <w:szCs w:val="20"/>
        </w:rPr>
        <w:t>TABLE 10</w:t>
      </w:r>
      <w:r w:rsidR="001B4ADA" w:rsidRPr="00CE2150">
        <w:rPr>
          <w:rFonts w:cstheme="minorHAnsi"/>
          <w:b/>
          <w:sz w:val="20"/>
          <w:szCs w:val="20"/>
        </w:rPr>
        <w:t>.</w:t>
      </w:r>
      <w:proofErr w:type="gramEnd"/>
      <w:r w:rsidR="001B4ADA" w:rsidRPr="00CE2150">
        <w:rPr>
          <w:rFonts w:cstheme="minorHAnsi"/>
          <w:b/>
          <w:sz w:val="20"/>
          <w:szCs w:val="20"/>
        </w:rPr>
        <w:t xml:space="preserve"> </w:t>
      </w:r>
      <w:r w:rsidR="001B4ADA" w:rsidRPr="00CE2150">
        <w:rPr>
          <w:rFonts w:cstheme="minorHAnsi"/>
          <w:color w:val="C00000"/>
        </w:rPr>
        <w:t>*</w:t>
      </w:r>
      <w:hyperlink r:id="rId42" w:history="1">
        <w:r w:rsidR="001B4ADA">
          <w:rPr>
            <w:rStyle w:val="Hyperlink"/>
            <w:rFonts w:cstheme="minorHAnsi"/>
            <w:b/>
            <w:sz w:val="20"/>
            <w:szCs w:val="20"/>
          </w:rPr>
          <w:t>National League of Cities (NLC)</w:t>
        </w:r>
      </w:hyperlink>
      <w:r w:rsidR="001B4ADA" w:rsidRPr="00CE2150">
        <w:rPr>
          <w:rFonts w:cstheme="minorHAnsi"/>
          <w:b/>
          <w:sz w:val="20"/>
          <w:szCs w:val="20"/>
        </w:rPr>
        <w:t>:</w:t>
      </w:r>
      <w:r w:rsidR="001B4ADA">
        <w:rPr>
          <w:rFonts w:cstheme="minorHAnsi"/>
          <w:b/>
          <w:sz w:val="20"/>
          <w:szCs w:val="20"/>
        </w:rPr>
        <w:t xml:space="preserve"> </w:t>
      </w:r>
      <w:r w:rsidR="001B4ADA" w:rsidRPr="00CE2150">
        <w:rPr>
          <w:rFonts w:cstheme="minorHAnsi"/>
          <w:b/>
          <w:sz w:val="20"/>
          <w:szCs w:val="20"/>
        </w:rPr>
        <w:t xml:space="preserve"> </w:t>
      </w:r>
      <w:r w:rsidR="001B4ADA" w:rsidRPr="00CE2150">
        <w:rPr>
          <w:rFonts w:cstheme="minorHAnsi"/>
          <w:b/>
          <w:color w:val="7030A0"/>
          <w:sz w:val="20"/>
          <w:szCs w:val="20"/>
        </w:rPr>
        <w:t>Anthony Santiago</w:t>
      </w:r>
    </w:p>
    <w:p w:rsidR="001B4ADA" w:rsidRPr="001B4ADA" w:rsidRDefault="001B4ADA" w:rsidP="001B4ADA">
      <w:pPr>
        <w:rPr>
          <w:rFonts w:asciiTheme="majorHAnsi" w:hAnsiTheme="majorHAnsi" w:cstheme="majorHAnsi"/>
          <w:sz w:val="20"/>
          <w:szCs w:val="20"/>
        </w:rPr>
      </w:pPr>
      <w:r w:rsidRPr="001B4ADA">
        <w:rPr>
          <w:rFonts w:asciiTheme="majorHAnsi" w:hAnsiTheme="majorHAnsi" w:cstheme="majorHAnsi"/>
          <w:sz w:val="20"/>
          <w:szCs w:val="20"/>
        </w:rPr>
        <w:t xml:space="preserve">The National League of Cities (NLC) is dedicated to helping city leaders build better communities. NLC serves as a resource to and an advocate for the more than 19,000 cities, villages, and towns it represents. We achieve this by influencing federal policy, using research and data to identify promising city solutions, and working to build the skills </w:t>
      </w:r>
      <w:r w:rsidR="00993657">
        <w:rPr>
          <w:rFonts w:asciiTheme="majorHAnsi" w:hAnsiTheme="majorHAnsi" w:cstheme="majorHAnsi"/>
          <w:sz w:val="20"/>
          <w:szCs w:val="20"/>
        </w:rPr>
        <w:t>&amp;</w:t>
      </w:r>
      <w:r w:rsidRPr="001B4ADA">
        <w:rPr>
          <w:rFonts w:asciiTheme="majorHAnsi" w:hAnsiTheme="majorHAnsi" w:cstheme="majorHAnsi"/>
          <w:sz w:val="20"/>
          <w:szCs w:val="20"/>
        </w:rPr>
        <w:t xml:space="preserve"> networks of city leaders.</w:t>
      </w:r>
    </w:p>
    <w:p w:rsidR="001B4ADA" w:rsidRPr="004429B0" w:rsidRDefault="001B4ADA" w:rsidP="001B4ADA">
      <w:pPr>
        <w:rPr>
          <w:rFonts w:cstheme="minorHAnsi"/>
          <w:sz w:val="18"/>
          <w:szCs w:val="16"/>
        </w:rPr>
      </w:pPr>
    </w:p>
    <w:p w:rsidR="001B4ADA" w:rsidRPr="00CE2150" w:rsidRDefault="00993657" w:rsidP="001B4ADA">
      <w:pPr>
        <w:rPr>
          <w:rFonts w:cstheme="minorHAnsi"/>
          <w:b/>
          <w:sz w:val="20"/>
          <w:szCs w:val="20"/>
          <w:u w:val="single"/>
        </w:rPr>
      </w:pPr>
      <w:proofErr w:type="gramStart"/>
      <w:r>
        <w:rPr>
          <w:rFonts w:cstheme="minorHAnsi"/>
          <w:b/>
          <w:sz w:val="20"/>
          <w:szCs w:val="20"/>
        </w:rPr>
        <w:t>TABLE 11</w:t>
      </w:r>
      <w:r w:rsidR="001B4ADA" w:rsidRPr="00CE2150">
        <w:rPr>
          <w:rFonts w:cstheme="minorHAnsi"/>
          <w:b/>
          <w:sz w:val="20"/>
          <w:szCs w:val="20"/>
        </w:rPr>
        <w:t>.</w:t>
      </w:r>
      <w:proofErr w:type="gramEnd"/>
      <w:r w:rsidR="001B4ADA" w:rsidRPr="00CE2150">
        <w:rPr>
          <w:rFonts w:cstheme="minorHAnsi"/>
          <w:b/>
          <w:sz w:val="20"/>
          <w:szCs w:val="20"/>
        </w:rPr>
        <w:t xml:space="preserve"> </w:t>
      </w:r>
      <w:hyperlink r:id="rId43" w:history="1">
        <w:r w:rsidR="001B4ADA" w:rsidRPr="00CE2150">
          <w:rPr>
            <w:rStyle w:val="Hyperlink"/>
            <w:rFonts w:cstheme="minorHAnsi"/>
            <w:b/>
            <w:sz w:val="20"/>
            <w:szCs w:val="20"/>
          </w:rPr>
          <w:t>Urban Institute</w:t>
        </w:r>
      </w:hyperlink>
      <w:r w:rsidR="001B4ADA" w:rsidRPr="00CE2150">
        <w:rPr>
          <w:rFonts w:cstheme="minorHAnsi"/>
          <w:b/>
          <w:sz w:val="20"/>
          <w:szCs w:val="20"/>
        </w:rPr>
        <w:t xml:space="preserve">: </w:t>
      </w:r>
      <w:r w:rsidR="001B4ADA">
        <w:rPr>
          <w:rFonts w:cstheme="minorHAnsi"/>
          <w:b/>
          <w:sz w:val="20"/>
          <w:szCs w:val="20"/>
        </w:rPr>
        <w:t xml:space="preserve"> </w:t>
      </w:r>
      <w:r w:rsidR="001B4ADA" w:rsidRPr="00CE2150">
        <w:rPr>
          <w:rFonts w:cstheme="minorHAnsi"/>
          <w:b/>
          <w:color w:val="7030A0"/>
          <w:sz w:val="20"/>
          <w:szCs w:val="20"/>
        </w:rPr>
        <w:t xml:space="preserve">Mark </w:t>
      </w:r>
      <w:proofErr w:type="spellStart"/>
      <w:r w:rsidR="001B4ADA" w:rsidRPr="00CE2150">
        <w:rPr>
          <w:rFonts w:cstheme="minorHAnsi"/>
          <w:b/>
          <w:color w:val="7030A0"/>
          <w:sz w:val="20"/>
          <w:szCs w:val="20"/>
        </w:rPr>
        <w:t>Treskon</w:t>
      </w:r>
      <w:proofErr w:type="spellEnd"/>
    </w:p>
    <w:p w:rsidR="001B4ADA" w:rsidRPr="001B4ADA" w:rsidRDefault="001B4ADA" w:rsidP="001B4ADA">
      <w:pPr>
        <w:rPr>
          <w:rFonts w:asciiTheme="majorHAnsi" w:hAnsiTheme="majorHAnsi" w:cstheme="majorHAnsi"/>
          <w:sz w:val="20"/>
          <w:szCs w:val="20"/>
        </w:rPr>
      </w:pPr>
      <w:r w:rsidRPr="001B4ADA">
        <w:rPr>
          <w:rFonts w:asciiTheme="majorHAnsi" w:hAnsiTheme="majorHAnsi" w:cstheme="majorHAnsi"/>
          <w:sz w:val="20"/>
          <w:szCs w:val="20"/>
          <w:lang w:val="en"/>
        </w:rPr>
        <w:t xml:space="preserve">Our mission is to open minds, shape decisions, and offer solutions through economic and social policy research. </w:t>
      </w:r>
      <w:r w:rsidRPr="001B4ADA">
        <w:rPr>
          <w:rFonts w:asciiTheme="majorHAnsi" w:hAnsiTheme="majorHAnsi" w:cstheme="majorHAnsi"/>
          <w:sz w:val="20"/>
          <w:szCs w:val="20"/>
        </w:rPr>
        <w:t xml:space="preserve">Our Center on Labor, Human Services, and Population is a policy center that focuses on research and strategies to address growing gaps in wealth accumulation. We recently published a </w:t>
      </w:r>
      <w:hyperlink r:id="rId44" w:history="1">
        <w:r w:rsidRPr="001B4ADA">
          <w:rPr>
            <w:rStyle w:val="Hyperlink"/>
            <w:rFonts w:asciiTheme="majorHAnsi" w:hAnsiTheme="majorHAnsi" w:cstheme="majorHAnsi"/>
            <w:sz w:val="20"/>
            <w:szCs w:val="20"/>
          </w:rPr>
          <w:t>report</w:t>
        </w:r>
      </w:hyperlink>
      <w:r w:rsidRPr="001B4ADA">
        <w:rPr>
          <w:rFonts w:asciiTheme="majorHAnsi" w:hAnsiTheme="majorHAnsi" w:cstheme="majorHAnsi"/>
          <w:sz w:val="20"/>
          <w:szCs w:val="20"/>
        </w:rPr>
        <w:t xml:space="preserve"> presenting findings on two programs that utilize financial coaching as a promising intervention model for low- to moderate-income individuals.</w:t>
      </w:r>
    </w:p>
    <w:p w:rsidR="001B4ADA" w:rsidRPr="004429B0" w:rsidRDefault="001B4ADA" w:rsidP="001B4ADA">
      <w:pPr>
        <w:rPr>
          <w:rFonts w:cstheme="minorHAnsi"/>
          <w:sz w:val="36"/>
          <w:szCs w:val="20"/>
        </w:rPr>
      </w:pPr>
    </w:p>
    <w:p w:rsidR="001B4ADA" w:rsidRPr="004429B0" w:rsidRDefault="00993657" w:rsidP="001B4ADA">
      <w:pPr>
        <w:rPr>
          <w:rFonts w:cstheme="minorHAnsi"/>
          <w:b/>
          <w:szCs w:val="20"/>
        </w:rPr>
      </w:pPr>
      <w:r w:rsidRPr="004429B0">
        <w:rPr>
          <w:rFonts w:cstheme="minorHAnsi"/>
          <w:b/>
          <w:szCs w:val="20"/>
        </w:rPr>
        <w:t xml:space="preserve">The following organizations </w:t>
      </w:r>
      <w:r w:rsidR="004528B8">
        <w:rPr>
          <w:rFonts w:cstheme="minorHAnsi"/>
          <w:b/>
          <w:szCs w:val="20"/>
        </w:rPr>
        <w:t>are</w:t>
      </w:r>
      <w:r w:rsidRPr="004429B0">
        <w:rPr>
          <w:rFonts w:cstheme="minorHAnsi"/>
          <w:b/>
          <w:szCs w:val="20"/>
        </w:rPr>
        <w:t xml:space="preserve"> unable to attend the Networking Lunch session:</w:t>
      </w:r>
    </w:p>
    <w:p w:rsidR="00993657" w:rsidRPr="009D1A67" w:rsidRDefault="00993657" w:rsidP="001B4ADA">
      <w:pPr>
        <w:rPr>
          <w:rFonts w:cstheme="minorHAnsi"/>
          <w:sz w:val="8"/>
          <w:szCs w:val="12"/>
        </w:rPr>
      </w:pPr>
    </w:p>
    <w:p w:rsidR="00993657" w:rsidRPr="00993657" w:rsidRDefault="00993657" w:rsidP="00993657">
      <w:pPr>
        <w:rPr>
          <w:rFonts w:cstheme="minorHAnsi"/>
          <w:b/>
          <w:sz w:val="20"/>
          <w:szCs w:val="20"/>
          <w:u w:val="single"/>
        </w:rPr>
      </w:pPr>
      <w:r w:rsidRPr="00CE2150">
        <w:rPr>
          <w:rFonts w:cstheme="minorHAnsi"/>
          <w:color w:val="C00000"/>
        </w:rPr>
        <w:t>*</w:t>
      </w:r>
      <w:hyperlink r:id="rId45" w:history="1">
        <w:r w:rsidRPr="00CE2150">
          <w:rPr>
            <w:rStyle w:val="Hyperlink"/>
            <w:rFonts w:cstheme="minorHAnsi"/>
            <w:b/>
            <w:sz w:val="20"/>
            <w:szCs w:val="20"/>
          </w:rPr>
          <w:t>Consumer Federal Protection Bureau (CFPB)</w:t>
        </w:r>
      </w:hyperlink>
      <w:r w:rsidRPr="00CE2150">
        <w:rPr>
          <w:rFonts w:cstheme="minorHAnsi"/>
          <w:b/>
          <w:sz w:val="20"/>
          <w:szCs w:val="20"/>
        </w:rPr>
        <w:t>:</w:t>
      </w:r>
      <w:r>
        <w:rPr>
          <w:rFonts w:cstheme="minorHAnsi"/>
          <w:b/>
          <w:sz w:val="20"/>
          <w:szCs w:val="20"/>
        </w:rPr>
        <w:t xml:space="preserve"> </w:t>
      </w:r>
      <w:r w:rsidRPr="001B4ADA">
        <w:rPr>
          <w:rFonts w:asciiTheme="majorHAnsi" w:hAnsiTheme="majorHAnsi" w:cstheme="majorHAnsi"/>
          <w:color w:val="333333"/>
          <w:sz w:val="20"/>
          <w:szCs w:val="20"/>
        </w:rPr>
        <w:t>The CFPB is a 21st century agency that helps empower consumers to take more control over their economic lives.</w:t>
      </w:r>
      <w:r w:rsidRPr="001B4ADA">
        <w:rPr>
          <w:rFonts w:asciiTheme="majorHAnsi" w:hAnsiTheme="majorHAnsi" w:cstheme="majorHAnsi"/>
          <w:sz w:val="20"/>
          <w:szCs w:val="20"/>
        </w:rPr>
        <w:t xml:space="preserve"> We have developed an </w:t>
      </w:r>
      <w:hyperlink r:id="rId46" w:history="1">
        <w:r w:rsidRPr="001B4ADA">
          <w:rPr>
            <w:rStyle w:val="Hyperlink"/>
            <w:rFonts w:asciiTheme="majorHAnsi" w:hAnsiTheme="majorHAnsi" w:cstheme="majorHAnsi"/>
            <w:sz w:val="20"/>
            <w:szCs w:val="20"/>
          </w:rPr>
          <w:t>array of tools</w:t>
        </w:r>
      </w:hyperlink>
      <w:r w:rsidRPr="001B4ADA">
        <w:rPr>
          <w:rFonts w:asciiTheme="majorHAnsi" w:hAnsiTheme="majorHAnsi" w:cstheme="majorHAnsi"/>
          <w:sz w:val="20"/>
          <w:szCs w:val="20"/>
        </w:rPr>
        <w:t xml:space="preserve"> to help young adults and the programs that serve them, including: College Scorecards, a Financial Aid Shopping Sheet, information on the FAFSA, and tools to assess student banking options. We recently released the </w:t>
      </w:r>
      <w:hyperlink r:id="rId47" w:history="1">
        <w:r w:rsidRPr="001B4ADA">
          <w:rPr>
            <w:rStyle w:val="Hyperlink"/>
            <w:rFonts w:asciiTheme="majorHAnsi" w:hAnsiTheme="majorHAnsi" w:cstheme="majorHAnsi"/>
            <w:sz w:val="20"/>
            <w:szCs w:val="20"/>
          </w:rPr>
          <w:t>Youth Financial Education Curriculum</w:t>
        </w:r>
      </w:hyperlink>
      <w:r w:rsidRPr="001B4ADA">
        <w:rPr>
          <w:rFonts w:asciiTheme="majorHAnsi" w:hAnsiTheme="majorHAnsi" w:cstheme="majorHAnsi"/>
          <w:sz w:val="20"/>
          <w:szCs w:val="20"/>
        </w:rPr>
        <w:t xml:space="preserve"> review tool to help program providers determine the most appropriate curriculum for their intended audience. </w:t>
      </w:r>
      <w:hyperlink r:id="rId48" w:history="1">
        <w:r w:rsidRPr="00B67103">
          <w:rPr>
            <w:rStyle w:val="Hyperlink"/>
            <w:rFonts w:asciiTheme="majorHAnsi" w:hAnsiTheme="majorHAnsi" w:cstheme="majorHAnsi"/>
            <w:i/>
            <w:sz w:val="20"/>
          </w:rPr>
          <w:t>Your Money, Your Goals</w:t>
        </w:r>
      </w:hyperlink>
      <w:r w:rsidRPr="00B67103">
        <w:rPr>
          <w:rFonts w:asciiTheme="majorHAnsi" w:hAnsiTheme="majorHAnsi" w:cstheme="majorHAnsi"/>
          <w:sz w:val="20"/>
        </w:rPr>
        <w:t xml:space="preserve"> is a print-on-demand toolkit for social services organizations that equips case managers and frontline staff to be competent and comfortable in providing financial empowerment services to their clients.</w:t>
      </w:r>
      <w:r w:rsidRPr="00B67103">
        <w:rPr>
          <w:rFonts w:ascii="Garamond" w:hAnsi="Garamond"/>
          <w:sz w:val="22"/>
        </w:rPr>
        <w:t xml:space="preserve"> </w:t>
      </w:r>
      <w:r w:rsidRPr="001B4ADA">
        <w:rPr>
          <w:rFonts w:asciiTheme="majorHAnsi" w:hAnsiTheme="majorHAnsi" w:cstheme="majorHAnsi"/>
          <w:sz w:val="20"/>
          <w:szCs w:val="20"/>
        </w:rPr>
        <w:t xml:space="preserve">Our report, </w:t>
      </w:r>
      <w:hyperlink r:id="rId49" w:history="1">
        <w:proofErr w:type="gramStart"/>
        <w:r w:rsidRPr="001B4ADA">
          <w:rPr>
            <w:rStyle w:val="Hyperlink"/>
            <w:rFonts w:asciiTheme="majorHAnsi" w:hAnsiTheme="majorHAnsi" w:cstheme="majorHAnsi"/>
            <w:sz w:val="20"/>
            <w:szCs w:val="20"/>
          </w:rPr>
          <w:t>Financial</w:t>
        </w:r>
        <w:proofErr w:type="gramEnd"/>
        <w:r w:rsidRPr="001B4ADA">
          <w:rPr>
            <w:rStyle w:val="Hyperlink"/>
            <w:rFonts w:asciiTheme="majorHAnsi" w:hAnsiTheme="majorHAnsi" w:cstheme="majorHAnsi"/>
            <w:sz w:val="20"/>
            <w:szCs w:val="20"/>
          </w:rPr>
          <w:t xml:space="preserve"> well-being: The goal of financial education</w:t>
        </w:r>
      </w:hyperlink>
      <w:r w:rsidRPr="001B4ADA">
        <w:rPr>
          <w:rFonts w:asciiTheme="majorHAnsi" w:hAnsiTheme="majorHAnsi" w:cstheme="majorHAnsi"/>
          <w:sz w:val="20"/>
          <w:szCs w:val="20"/>
        </w:rPr>
        <w:t xml:space="preserve"> explains what “financial well-being” means. </w:t>
      </w:r>
    </w:p>
    <w:p w:rsidR="00993657" w:rsidRPr="009D1A67" w:rsidRDefault="00993657" w:rsidP="001B4ADA">
      <w:pPr>
        <w:rPr>
          <w:rFonts w:cstheme="minorHAnsi"/>
          <w:sz w:val="16"/>
          <w:szCs w:val="20"/>
        </w:rPr>
      </w:pPr>
    </w:p>
    <w:p w:rsidR="00993657" w:rsidRPr="00FD41D5" w:rsidRDefault="00D55E8A" w:rsidP="001B4ADA">
      <w:pPr>
        <w:rPr>
          <w:rFonts w:asciiTheme="majorHAnsi" w:hAnsiTheme="majorHAnsi" w:cstheme="majorHAnsi"/>
          <w:sz w:val="20"/>
          <w:szCs w:val="20"/>
        </w:rPr>
      </w:pPr>
      <w:hyperlink r:id="rId50" w:history="1">
        <w:r w:rsidR="00993657" w:rsidRPr="00FD41D5">
          <w:rPr>
            <w:rStyle w:val="Hyperlink"/>
            <w:rFonts w:cstheme="minorHAnsi"/>
            <w:b/>
            <w:sz w:val="20"/>
            <w:szCs w:val="20"/>
          </w:rPr>
          <w:t>National Endowment for Financial Education</w:t>
        </w:r>
        <w:r w:rsidR="00FD41D5" w:rsidRPr="00FD41D5">
          <w:rPr>
            <w:rStyle w:val="Hyperlink"/>
            <w:rFonts w:cstheme="minorHAnsi"/>
            <w:b/>
            <w:sz w:val="20"/>
            <w:szCs w:val="20"/>
          </w:rPr>
          <w:t xml:space="preserve"> (NEFE)</w:t>
        </w:r>
      </w:hyperlink>
      <w:r w:rsidR="00993657" w:rsidRPr="00FD41D5">
        <w:rPr>
          <w:rFonts w:cstheme="minorHAnsi"/>
          <w:b/>
          <w:sz w:val="20"/>
          <w:szCs w:val="20"/>
        </w:rPr>
        <w:t xml:space="preserve">: </w:t>
      </w:r>
      <w:r w:rsidR="00FD41D5" w:rsidRPr="00FD41D5">
        <w:rPr>
          <w:rFonts w:asciiTheme="majorHAnsi" w:hAnsiTheme="majorHAnsi" w:cstheme="majorHAnsi"/>
          <w:sz w:val="20"/>
          <w:szCs w:val="20"/>
        </w:rPr>
        <w:t xml:space="preserve">The National Endowment for Financial Education (NEFE) provides objective and effective financial education and practical information to people to help them take control of their circumstances, improve their quality of life, and ensure a more stable future for themselves and their families. </w:t>
      </w:r>
      <w:r w:rsidR="00FD41D5">
        <w:rPr>
          <w:rFonts w:asciiTheme="majorHAnsi" w:hAnsiTheme="majorHAnsi" w:cstheme="majorHAnsi"/>
          <w:sz w:val="20"/>
          <w:szCs w:val="20"/>
        </w:rPr>
        <w:t xml:space="preserve">Our many resources and tools include: </w:t>
      </w:r>
      <w:hyperlink r:id="rId51" w:history="1">
        <w:r w:rsidR="00FD41D5" w:rsidRPr="00FD41D5">
          <w:rPr>
            <w:rStyle w:val="Hyperlink"/>
            <w:rFonts w:asciiTheme="majorHAnsi" w:hAnsiTheme="majorHAnsi" w:cstheme="majorHAnsi"/>
            <w:sz w:val="20"/>
            <w:szCs w:val="20"/>
          </w:rPr>
          <w:t>Smart About Money</w:t>
        </w:r>
      </w:hyperlink>
      <w:r w:rsidR="00FD41D5">
        <w:rPr>
          <w:rFonts w:asciiTheme="majorHAnsi" w:hAnsiTheme="majorHAnsi" w:cstheme="majorHAnsi"/>
          <w:sz w:val="20"/>
          <w:szCs w:val="20"/>
        </w:rPr>
        <w:t xml:space="preserve">, a program dedicated to empowering financial decision-making through every stage of life; curricula and resources for </w:t>
      </w:r>
      <w:hyperlink r:id="rId52" w:history="1">
        <w:r w:rsidR="00FD41D5" w:rsidRPr="00FD41D5">
          <w:rPr>
            <w:rStyle w:val="Hyperlink"/>
            <w:rFonts w:asciiTheme="majorHAnsi" w:hAnsiTheme="majorHAnsi" w:cstheme="majorHAnsi"/>
            <w:sz w:val="20"/>
            <w:szCs w:val="20"/>
          </w:rPr>
          <w:t>high school</w:t>
        </w:r>
      </w:hyperlink>
      <w:r w:rsidR="00FD41D5">
        <w:rPr>
          <w:rFonts w:asciiTheme="majorHAnsi" w:hAnsiTheme="majorHAnsi" w:cstheme="majorHAnsi"/>
          <w:sz w:val="20"/>
          <w:szCs w:val="20"/>
        </w:rPr>
        <w:t xml:space="preserve"> and </w:t>
      </w:r>
      <w:hyperlink r:id="rId53" w:history="1">
        <w:r w:rsidR="00FD41D5" w:rsidRPr="009D1A67">
          <w:rPr>
            <w:rStyle w:val="Hyperlink"/>
            <w:rFonts w:asciiTheme="majorHAnsi" w:hAnsiTheme="majorHAnsi" w:cstheme="majorHAnsi"/>
            <w:sz w:val="20"/>
            <w:szCs w:val="20"/>
          </w:rPr>
          <w:t>college-aged</w:t>
        </w:r>
      </w:hyperlink>
      <w:r w:rsidR="00FD41D5">
        <w:rPr>
          <w:rFonts w:asciiTheme="majorHAnsi" w:hAnsiTheme="majorHAnsi" w:cstheme="majorHAnsi"/>
          <w:sz w:val="20"/>
          <w:szCs w:val="20"/>
        </w:rPr>
        <w:t xml:space="preserve"> students</w:t>
      </w:r>
      <w:r w:rsidR="009D1A67">
        <w:rPr>
          <w:rFonts w:asciiTheme="majorHAnsi" w:hAnsiTheme="majorHAnsi" w:cstheme="majorHAnsi"/>
          <w:sz w:val="20"/>
          <w:szCs w:val="20"/>
        </w:rPr>
        <w:t xml:space="preserve"> and </w:t>
      </w:r>
      <w:hyperlink r:id="rId54" w:history="1">
        <w:r w:rsidR="009D1A67" w:rsidRPr="009D1A67">
          <w:rPr>
            <w:rStyle w:val="Hyperlink"/>
            <w:rFonts w:asciiTheme="majorHAnsi" w:hAnsiTheme="majorHAnsi" w:cstheme="majorHAnsi"/>
            <w:sz w:val="20"/>
            <w:szCs w:val="20"/>
          </w:rPr>
          <w:t>disconnected</w:t>
        </w:r>
      </w:hyperlink>
      <w:r w:rsidR="009D1A67">
        <w:rPr>
          <w:rFonts w:asciiTheme="majorHAnsi" w:hAnsiTheme="majorHAnsi" w:cstheme="majorHAnsi"/>
          <w:sz w:val="20"/>
          <w:szCs w:val="20"/>
        </w:rPr>
        <w:t xml:space="preserve"> youth</w:t>
      </w:r>
      <w:r w:rsidR="00FD41D5">
        <w:rPr>
          <w:rFonts w:asciiTheme="majorHAnsi" w:hAnsiTheme="majorHAnsi" w:cstheme="majorHAnsi"/>
          <w:sz w:val="20"/>
          <w:szCs w:val="20"/>
        </w:rPr>
        <w:t xml:space="preserve">; </w:t>
      </w:r>
      <w:r w:rsidR="009D1A67">
        <w:rPr>
          <w:rFonts w:asciiTheme="majorHAnsi" w:hAnsiTheme="majorHAnsi" w:cstheme="majorHAnsi"/>
          <w:sz w:val="20"/>
          <w:szCs w:val="20"/>
        </w:rPr>
        <w:t xml:space="preserve">and workshop </w:t>
      </w:r>
      <w:hyperlink r:id="rId55" w:history="1">
        <w:r w:rsidR="009D1A67" w:rsidRPr="009D1A67">
          <w:rPr>
            <w:rStyle w:val="Hyperlink"/>
            <w:rFonts w:asciiTheme="majorHAnsi" w:hAnsiTheme="majorHAnsi" w:cstheme="majorHAnsi"/>
            <w:sz w:val="20"/>
            <w:szCs w:val="20"/>
          </w:rPr>
          <w:t>toolkits</w:t>
        </w:r>
      </w:hyperlink>
      <w:r w:rsidR="009D1A67">
        <w:rPr>
          <w:rFonts w:asciiTheme="majorHAnsi" w:hAnsiTheme="majorHAnsi" w:cstheme="majorHAnsi"/>
          <w:sz w:val="20"/>
          <w:szCs w:val="20"/>
        </w:rPr>
        <w:t xml:space="preserve"> and </w:t>
      </w:r>
      <w:hyperlink r:id="rId56" w:history="1">
        <w:r w:rsidR="009D1A67" w:rsidRPr="009D1A67">
          <w:rPr>
            <w:rStyle w:val="Hyperlink"/>
            <w:rFonts w:asciiTheme="majorHAnsi" w:hAnsiTheme="majorHAnsi" w:cstheme="majorHAnsi"/>
            <w:sz w:val="20"/>
            <w:szCs w:val="20"/>
          </w:rPr>
          <w:t>evaluation</w:t>
        </w:r>
      </w:hyperlink>
      <w:r w:rsidR="009D1A67">
        <w:rPr>
          <w:rFonts w:asciiTheme="majorHAnsi" w:hAnsiTheme="majorHAnsi" w:cstheme="majorHAnsi"/>
          <w:sz w:val="20"/>
          <w:szCs w:val="20"/>
        </w:rPr>
        <w:t xml:space="preserve"> resources to help program providers improve the financial stability of their participants.</w:t>
      </w:r>
    </w:p>
    <w:p w:rsidR="004429B0" w:rsidRPr="009D1A67" w:rsidRDefault="004429B0" w:rsidP="001B4ADA">
      <w:pPr>
        <w:rPr>
          <w:rFonts w:cstheme="minorHAnsi"/>
          <w:sz w:val="36"/>
          <w:szCs w:val="36"/>
        </w:rPr>
      </w:pPr>
    </w:p>
    <w:p w:rsidR="00CF25B5" w:rsidRDefault="001B4ADA" w:rsidP="004528B8">
      <w:r w:rsidRPr="001B4ADA">
        <w:rPr>
          <w:rFonts w:asciiTheme="majorHAnsi" w:hAnsiTheme="majorHAnsi" w:cstheme="majorHAnsi"/>
          <w:b/>
          <w:color w:val="C00000"/>
        </w:rPr>
        <w:t>*</w:t>
      </w:r>
      <w:r w:rsidRPr="001B4ADA">
        <w:rPr>
          <w:rFonts w:asciiTheme="majorHAnsi" w:hAnsiTheme="majorHAnsi" w:cstheme="majorHAnsi"/>
          <w:b/>
          <w:color w:val="C00000"/>
          <w:sz w:val="18"/>
          <w:szCs w:val="18"/>
        </w:rPr>
        <w:t>Denotes a Youth Employment Success initiative partner.</w:t>
      </w:r>
      <w:r w:rsidRPr="001B4ADA">
        <w:rPr>
          <w:rFonts w:asciiTheme="majorHAnsi" w:hAnsiTheme="majorHAnsi" w:cstheme="majorHAnsi"/>
          <w:color w:val="C00000"/>
          <w:sz w:val="18"/>
          <w:szCs w:val="18"/>
        </w:rPr>
        <w:t xml:space="preserve"> These partners are working together to provide technical assistance to 25 cities nationwide looking to incorporate effective financial capability strategies into youth employment programs. Sites represented here at today’s event include: Bridgeport, CT; Boston, MA; Lowell, MA; and Central MA.</w:t>
      </w:r>
    </w:p>
    <w:sectPr w:rsidR="00CF25B5" w:rsidSect="00804522">
      <w:headerReference w:type="even" r:id="rId57"/>
      <w:headerReference w:type="default" r:id="rId58"/>
      <w:footerReference w:type="even" r:id="rId59"/>
      <w:footerReference w:type="default" r:id="rId60"/>
      <w:headerReference w:type="first" r:id="rId61"/>
      <w:footerReference w:type="first" r:id="rId62"/>
      <w:pgSz w:w="12240" w:h="15840"/>
      <w:pgMar w:top="864"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8A" w:rsidRDefault="00D55E8A" w:rsidP="00376041">
      <w:r>
        <w:separator/>
      </w:r>
    </w:p>
  </w:endnote>
  <w:endnote w:type="continuationSeparator" w:id="0">
    <w:p w:rsidR="00D55E8A" w:rsidRDefault="00D55E8A" w:rsidP="0037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B" w:rsidRDefault="007E0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41" w:rsidRPr="007E0A2B" w:rsidRDefault="00376041" w:rsidP="00376041">
    <w:pPr>
      <w:pStyle w:val="Footer"/>
      <w:jc w:val="right"/>
      <w:rPr>
        <w:i/>
        <w:sz w:val="20"/>
        <w:szCs w:val="27"/>
      </w:rPr>
    </w:pPr>
  </w:p>
  <w:p w:rsidR="00376041" w:rsidRPr="007E0A2B" w:rsidRDefault="00376041" w:rsidP="00376041">
    <w:pPr>
      <w:pStyle w:val="Footer"/>
      <w:jc w:val="right"/>
      <w:rPr>
        <w:i/>
        <w:sz w:val="20"/>
        <w:szCs w:val="27"/>
      </w:rPr>
    </w:pPr>
    <w:r w:rsidRPr="007E0A2B">
      <w:rPr>
        <w:i/>
        <w:sz w:val="20"/>
        <w:szCs w:val="27"/>
      </w:rPr>
      <w:t>Leveraging Financial Education to Improve the Impact of Workforce Innovation and Opportunity Act</w:t>
    </w:r>
  </w:p>
  <w:p w:rsidR="00376041" w:rsidRPr="007E0A2B" w:rsidRDefault="00376041" w:rsidP="00376041">
    <w:pPr>
      <w:pStyle w:val="Footer"/>
      <w:jc w:val="right"/>
      <w:rPr>
        <w:i/>
        <w:sz w:val="18"/>
      </w:rPr>
    </w:pPr>
    <w:r w:rsidRPr="007E0A2B">
      <w:rPr>
        <w:i/>
        <w:sz w:val="20"/>
        <w:szCs w:val="27"/>
      </w:rPr>
      <w:t>December 10,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B" w:rsidRDefault="007E0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8A" w:rsidRDefault="00D55E8A" w:rsidP="00376041">
      <w:r>
        <w:separator/>
      </w:r>
    </w:p>
  </w:footnote>
  <w:footnote w:type="continuationSeparator" w:id="0">
    <w:p w:rsidR="00D55E8A" w:rsidRDefault="00D55E8A" w:rsidP="00376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B" w:rsidRDefault="007E0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B" w:rsidRDefault="007E0A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B" w:rsidRDefault="007E0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B5"/>
    <w:rsid w:val="00002394"/>
    <w:rsid w:val="00015146"/>
    <w:rsid w:val="001B4ADA"/>
    <w:rsid w:val="001F0F30"/>
    <w:rsid w:val="00376041"/>
    <w:rsid w:val="004400F6"/>
    <w:rsid w:val="004429B0"/>
    <w:rsid w:val="004528B8"/>
    <w:rsid w:val="00523A1B"/>
    <w:rsid w:val="00594FA8"/>
    <w:rsid w:val="006D2693"/>
    <w:rsid w:val="007E0A2B"/>
    <w:rsid w:val="00854B42"/>
    <w:rsid w:val="00965017"/>
    <w:rsid w:val="00993657"/>
    <w:rsid w:val="009D1A67"/>
    <w:rsid w:val="00B67103"/>
    <w:rsid w:val="00C1425E"/>
    <w:rsid w:val="00CF25B5"/>
    <w:rsid w:val="00D55E8A"/>
    <w:rsid w:val="00E96FC5"/>
    <w:rsid w:val="00FD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5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5B5"/>
    <w:rPr>
      <w:rFonts w:ascii="Lucida Grande" w:hAnsi="Lucida Grande" w:cs="Lucida Grande"/>
      <w:sz w:val="18"/>
      <w:szCs w:val="18"/>
    </w:rPr>
  </w:style>
  <w:style w:type="character" w:styleId="Hyperlink">
    <w:name w:val="Hyperlink"/>
    <w:basedOn w:val="DefaultParagraphFont"/>
    <w:uiPriority w:val="99"/>
    <w:unhideWhenUsed/>
    <w:rsid w:val="001B4ADA"/>
    <w:rPr>
      <w:color w:val="0000FF" w:themeColor="hyperlink"/>
      <w:u w:val="single"/>
    </w:rPr>
  </w:style>
  <w:style w:type="paragraph" w:styleId="NormalWeb">
    <w:name w:val="Normal (Web)"/>
    <w:basedOn w:val="Normal"/>
    <w:uiPriority w:val="99"/>
    <w:unhideWhenUsed/>
    <w:rsid w:val="001B4ADA"/>
    <w:pPr>
      <w:spacing w:before="100" w:beforeAutospacing="1" w:after="75"/>
      <w:ind w:left="150"/>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376041"/>
    <w:pPr>
      <w:tabs>
        <w:tab w:val="center" w:pos="4680"/>
        <w:tab w:val="right" w:pos="9360"/>
      </w:tabs>
    </w:pPr>
  </w:style>
  <w:style w:type="character" w:customStyle="1" w:styleId="HeaderChar">
    <w:name w:val="Header Char"/>
    <w:basedOn w:val="DefaultParagraphFont"/>
    <w:link w:val="Header"/>
    <w:uiPriority w:val="99"/>
    <w:rsid w:val="00376041"/>
  </w:style>
  <w:style w:type="paragraph" w:styleId="Footer">
    <w:name w:val="footer"/>
    <w:basedOn w:val="Normal"/>
    <w:link w:val="FooterChar"/>
    <w:uiPriority w:val="99"/>
    <w:unhideWhenUsed/>
    <w:rsid w:val="00376041"/>
    <w:pPr>
      <w:tabs>
        <w:tab w:val="center" w:pos="4680"/>
        <w:tab w:val="right" w:pos="9360"/>
      </w:tabs>
    </w:pPr>
  </w:style>
  <w:style w:type="character" w:customStyle="1" w:styleId="FooterChar">
    <w:name w:val="Footer Char"/>
    <w:basedOn w:val="DefaultParagraphFont"/>
    <w:link w:val="Footer"/>
    <w:uiPriority w:val="99"/>
    <w:rsid w:val="00376041"/>
  </w:style>
  <w:style w:type="character" w:styleId="Emphasis">
    <w:name w:val="Emphasis"/>
    <w:basedOn w:val="DefaultParagraphFont"/>
    <w:uiPriority w:val="20"/>
    <w:qFormat/>
    <w:rsid w:val="00B671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5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5B5"/>
    <w:rPr>
      <w:rFonts w:ascii="Lucida Grande" w:hAnsi="Lucida Grande" w:cs="Lucida Grande"/>
      <w:sz w:val="18"/>
      <w:szCs w:val="18"/>
    </w:rPr>
  </w:style>
  <w:style w:type="character" w:styleId="Hyperlink">
    <w:name w:val="Hyperlink"/>
    <w:basedOn w:val="DefaultParagraphFont"/>
    <w:uiPriority w:val="99"/>
    <w:unhideWhenUsed/>
    <w:rsid w:val="001B4ADA"/>
    <w:rPr>
      <w:color w:val="0000FF" w:themeColor="hyperlink"/>
      <w:u w:val="single"/>
    </w:rPr>
  </w:style>
  <w:style w:type="paragraph" w:styleId="NormalWeb">
    <w:name w:val="Normal (Web)"/>
    <w:basedOn w:val="Normal"/>
    <w:uiPriority w:val="99"/>
    <w:unhideWhenUsed/>
    <w:rsid w:val="001B4ADA"/>
    <w:pPr>
      <w:spacing w:before="100" w:beforeAutospacing="1" w:after="75"/>
      <w:ind w:left="150"/>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376041"/>
    <w:pPr>
      <w:tabs>
        <w:tab w:val="center" w:pos="4680"/>
        <w:tab w:val="right" w:pos="9360"/>
      </w:tabs>
    </w:pPr>
  </w:style>
  <w:style w:type="character" w:customStyle="1" w:styleId="HeaderChar">
    <w:name w:val="Header Char"/>
    <w:basedOn w:val="DefaultParagraphFont"/>
    <w:link w:val="Header"/>
    <w:uiPriority w:val="99"/>
    <w:rsid w:val="00376041"/>
  </w:style>
  <w:style w:type="paragraph" w:styleId="Footer">
    <w:name w:val="footer"/>
    <w:basedOn w:val="Normal"/>
    <w:link w:val="FooterChar"/>
    <w:uiPriority w:val="99"/>
    <w:unhideWhenUsed/>
    <w:rsid w:val="00376041"/>
    <w:pPr>
      <w:tabs>
        <w:tab w:val="center" w:pos="4680"/>
        <w:tab w:val="right" w:pos="9360"/>
      </w:tabs>
    </w:pPr>
  </w:style>
  <w:style w:type="character" w:customStyle="1" w:styleId="FooterChar">
    <w:name w:val="Footer Char"/>
    <w:basedOn w:val="DefaultParagraphFont"/>
    <w:link w:val="Footer"/>
    <w:uiPriority w:val="99"/>
    <w:rsid w:val="00376041"/>
  </w:style>
  <w:style w:type="character" w:styleId="Emphasis">
    <w:name w:val="Emphasis"/>
    <w:basedOn w:val="DefaultParagraphFont"/>
    <w:uiPriority w:val="20"/>
    <w:qFormat/>
    <w:rsid w:val="00B671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841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jobcorps.dol.gov/" TargetMode="External"/><Relationship Id="rId18" Type="http://schemas.openxmlformats.org/officeDocument/2006/relationships/hyperlink" Target="http://www.d2dfund.org/prize_linked_savings" TargetMode="External"/><Relationship Id="rId26" Type="http://schemas.openxmlformats.org/officeDocument/2006/relationships/hyperlink" Target="http://www.bostonfed.org/commdev/index.htm" TargetMode="External"/><Relationship Id="rId39" Type="http://schemas.openxmlformats.org/officeDocument/2006/relationships/hyperlink" Target="http://www.jumpstart.org/jump$tart-clearinghouse.html" TargetMode="External"/><Relationship Id="rId21" Type="http://schemas.openxmlformats.org/officeDocument/2006/relationships/hyperlink" Target="https://www.fdic.gov/" TargetMode="External"/><Relationship Id="rId34" Type="http://schemas.openxmlformats.org/officeDocument/2006/relationships/hyperlink" Target="https://www.treasury.gov/resource-center/financial-education/Documents/Opportunities%20to%20Improve%20the%20Financial%20Capability%20and%20Financial%20Well-being%20of%20Postsecondary%20Students.pdf" TargetMode="External"/><Relationship Id="rId42" Type="http://schemas.openxmlformats.org/officeDocument/2006/relationships/hyperlink" Target="http://www.nlc.org/" TargetMode="External"/><Relationship Id="rId47" Type="http://schemas.openxmlformats.org/officeDocument/2006/relationships/hyperlink" Target="http://www.consumerfinance.gov/reports/youth-financial-education-curriculum-review-tool/" TargetMode="External"/><Relationship Id="rId50" Type="http://schemas.openxmlformats.org/officeDocument/2006/relationships/hyperlink" Target="http://www.nefe.org/" TargetMode="External"/><Relationship Id="rId55" Type="http://schemas.openxmlformats.org/officeDocument/2006/relationships/hyperlink" Target="http://www.financialworkshopkits.org/" TargetMode="External"/><Relationship Id="rId63" Type="http://schemas.openxmlformats.org/officeDocument/2006/relationships/fontTable" Target="fontTable.xml"/><Relationship Id="rId7" Type="http://schemas.openxmlformats.org/officeDocument/2006/relationships/image" Target="media/image1.jpg"/><Relationship Id="rId2" Type="http://schemas.microsoft.com/office/2007/relationships/stylesWithEffects" Target="stylesWithEffects.xml"/><Relationship Id="rId16" Type="http://schemas.openxmlformats.org/officeDocument/2006/relationships/hyperlink" Target="http://www.d2dfund.org/" TargetMode="External"/><Relationship Id="rId20" Type="http://schemas.openxmlformats.org/officeDocument/2006/relationships/hyperlink" Target="http://www.d2dfund.org/gamification" TargetMode="External"/><Relationship Id="rId29" Type="http://schemas.openxmlformats.org/officeDocument/2006/relationships/hyperlink" Target="https://www.newyorkfed.org/" TargetMode="External"/><Relationship Id="rId41" Type="http://schemas.openxmlformats.org/officeDocument/2006/relationships/hyperlink" Target="http://www.jumpstart.org/best-practices.html" TargetMode="External"/><Relationship Id="rId54" Type="http://schemas.openxmlformats.org/officeDocument/2006/relationships/hyperlink" Target="http://www.onyourown.org/"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oleta.gov/" TargetMode="External"/><Relationship Id="rId24" Type="http://schemas.openxmlformats.org/officeDocument/2006/relationships/hyperlink" Target="https://www.fdic.gov/consumers/consumer/moneysmart/trainthetrainer.html" TargetMode="External"/><Relationship Id="rId32" Type="http://schemas.openxmlformats.org/officeDocument/2006/relationships/hyperlink" Target="https://www.treasury.gov/resource-center/financial-education/Pages/commission-index.aspx" TargetMode="External"/><Relationship Id="rId37" Type="http://schemas.openxmlformats.org/officeDocument/2006/relationships/hyperlink" Target="http://mypathus.org/mypath-credit/" TargetMode="External"/><Relationship Id="rId40" Type="http://schemas.openxmlformats.org/officeDocument/2006/relationships/hyperlink" Target="http://www.jumpstart.org/reality-check.html" TargetMode="External"/><Relationship Id="rId45" Type="http://schemas.openxmlformats.org/officeDocument/2006/relationships/hyperlink" Target="http://www.consumerfinance.gov/" TargetMode="External"/><Relationship Id="rId53" Type="http://schemas.openxmlformats.org/officeDocument/2006/relationships/hyperlink" Target="http://info.cashcourse.org/"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doleta.gov/jobseekers/apprent.cfm" TargetMode="External"/><Relationship Id="rId23" Type="http://schemas.openxmlformats.org/officeDocument/2006/relationships/hyperlink" Target="https://www.fdic.gov/consumers/education/torc/index.html" TargetMode="External"/><Relationship Id="rId28" Type="http://schemas.openxmlformats.org/officeDocument/2006/relationships/hyperlink" Target="http://www.bostonfed.org/education/financial-capabilities/community-college-initiative/index.htm" TargetMode="External"/><Relationship Id="rId36" Type="http://schemas.openxmlformats.org/officeDocument/2006/relationships/hyperlink" Target="http://mypathus.org/mypath-savings/" TargetMode="External"/><Relationship Id="rId49" Type="http://schemas.openxmlformats.org/officeDocument/2006/relationships/hyperlink" Target="http://files.consumerfinance.gov/f/201501_cfpb_report_financial-well-being.pdf"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www.dol.gov/dol/topic/training/youth.htm" TargetMode="External"/><Relationship Id="rId19" Type="http://schemas.openxmlformats.org/officeDocument/2006/relationships/hyperlink" Target="http://www.d2dfund.org/financial_entertainment" TargetMode="External"/><Relationship Id="rId31" Type="http://schemas.openxmlformats.org/officeDocument/2006/relationships/hyperlink" Target="http://www.mymoney.gov/" TargetMode="External"/><Relationship Id="rId44" Type="http://schemas.openxmlformats.org/officeDocument/2006/relationships/hyperlink" Target="http://www.urban.org/research/publication/evaluation-impacts-and-implementation-approaches-financial-coaching-programs" TargetMode="External"/><Relationship Id="rId52" Type="http://schemas.openxmlformats.org/officeDocument/2006/relationships/hyperlink" Target="http://www.hsfpp.org/"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fefund.org/info/our-projects" TargetMode="External"/><Relationship Id="rId14" Type="http://schemas.openxmlformats.org/officeDocument/2006/relationships/hyperlink" Target="http://www.doleta.gov/youth_services/discretionary.cfm" TargetMode="External"/><Relationship Id="rId22" Type="http://schemas.openxmlformats.org/officeDocument/2006/relationships/hyperlink" Target="https://www.fdic.gov/consumers/consumer/moneysmart/young.html" TargetMode="External"/><Relationship Id="rId27" Type="http://schemas.openxmlformats.org/officeDocument/2006/relationships/hyperlink" Target="http://www.bostonfed.org/commdev/childrens-savings-accounts/index.htm" TargetMode="External"/><Relationship Id="rId30" Type="http://schemas.openxmlformats.org/officeDocument/2006/relationships/hyperlink" Target="https://www.treasury.gov/resource-center/financial-education/Pages/commission-index.aspx" TargetMode="External"/><Relationship Id="rId35" Type="http://schemas.openxmlformats.org/officeDocument/2006/relationships/hyperlink" Target="http://mypathus.org/" TargetMode="External"/><Relationship Id="rId43" Type="http://schemas.openxmlformats.org/officeDocument/2006/relationships/hyperlink" Target="http://www.urban.org/" TargetMode="External"/><Relationship Id="rId48" Type="http://schemas.openxmlformats.org/officeDocument/2006/relationships/hyperlink" Target="file:///\\rb.win.frb.org\a1\shared\Gdrive\Deptdata\PubSvcs\Financial%20Capabilities%20Group\Workforce%20Development\WIOA%20Fin%20Ed%20Convening%20121015\Event%20Materials\consumerfinance.gov\your-money-your-goals" TargetMode="External"/><Relationship Id="rId56" Type="http://schemas.openxmlformats.org/officeDocument/2006/relationships/hyperlink" Target="http://toolkit.nefe.org/" TargetMode="External"/><Relationship Id="rId64" Type="http://schemas.openxmlformats.org/officeDocument/2006/relationships/theme" Target="theme/theme1.xml"/><Relationship Id="rId8" Type="http://schemas.openxmlformats.org/officeDocument/2006/relationships/hyperlink" Target="http://cfecoalition.org/" TargetMode="External"/><Relationship Id="rId51" Type="http://schemas.openxmlformats.org/officeDocument/2006/relationships/hyperlink" Target="http://www.smartaboutmoney.org/" TargetMode="External"/><Relationship Id="rId3" Type="http://schemas.openxmlformats.org/officeDocument/2006/relationships/settings" Target="settings.xml"/><Relationship Id="rId12" Type="http://schemas.openxmlformats.org/officeDocument/2006/relationships/hyperlink" Target="http://www.doleta.gov/youth_services/formula-funded.cfm" TargetMode="External"/><Relationship Id="rId17" Type="http://schemas.openxmlformats.org/officeDocument/2006/relationships/hyperlink" Target="http://www.d2dfund.org/mobile_apps" TargetMode="External"/><Relationship Id="rId25" Type="http://schemas.openxmlformats.org/officeDocument/2006/relationships/hyperlink" Target="https://www.fdic.gov/consumers/consumer/moneysmart/business.html" TargetMode="External"/><Relationship Id="rId33" Type="http://schemas.openxmlformats.org/officeDocument/2006/relationships/hyperlink" Target="https://www.treasury.gov/resource-center/financial-education/Documents/FLEC%20Postsecondary%20Document%20for%20mymoney%2011%2014%20(2).pdf" TargetMode="External"/><Relationship Id="rId38" Type="http://schemas.openxmlformats.org/officeDocument/2006/relationships/hyperlink" Target="http://www.jumpstart.org/home.html" TargetMode="External"/><Relationship Id="rId46" Type="http://schemas.openxmlformats.org/officeDocument/2006/relationships/hyperlink" Target="http://www.consumerfinance.gov/paying-for-college/"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12859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Shannon, Chris</cp:lastModifiedBy>
  <cp:revision>4</cp:revision>
  <dcterms:created xsi:type="dcterms:W3CDTF">2015-12-01T16:57:00Z</dcterms:created>
  <dcterms:modified xsi:type="dcterms:W3CDTF">2015-12-07T18:41:00Z</dcterms:modified>
</cp:coreProperties>
</file>